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0" w:firstLineChars="0"/>
        <w:jc w:val="left"/>
        <w:rPr>
          <w:rFonts w:hint="default" w:cs="宋体" w:asciiTheme="majorEastAsia" w:hAnsiTheme="majorEastAsia" w:eastAsiaTheme="majorEastAsia"/>
          <w:b/>
          <w:kern w:val="0"/>
          <w:sz w:val="36"/>
          <w:szCs w:val="36"/>
          <w:highlight w:val="none"/>
          <w:u w:val="none"/>
          <w:lang w:val="en-US" w:eastAsia="zh-CN"/>
        </w:rPr>
      </w:pPr>
      <w:bookmarkStart w:id="0" w:name="_GoBack"/>
      <w:r>
        <w:rPr>
          <w:rFonts w:hint="eastAsia" w:ascii="华文楷体" w:hAnsi="华文楷体" w:eastAsia="华文楷体" w:cs="华文楷体"/>
          <w:b w:val="0"/>
          <w:bCs/>
          <w:kern w:val="0"/>
          <w:sz w:val="32"/>
          <w:szCs w:val="32"/>
          <w:highlight w:val="none"/>
          <w:u w:val="none"/>
          <w:lang w:val="en-US" w:eastAsia="zh-CN"/>
        </w:rPr>
        <w:t>附件1：</w:t>
      </w:r>
      <w:bookmarkEnd w:id="0"/>
    </w:p>
    <w:p>
      <w:pPr>
        <w:widowControl/>
        <w:shd w:val="clear" w:color="auto" w:fill="FFFFFF"/>
        <w:spacing w:line="360" w:lineRule="auto"/>
        <w:ind w:firstLine="0" w:firstLineChars="0"/>
        <w:jc w:val="center"/>
        <w:rPr>
          <w:rFonts w:cs="宋体" w:asciiTheme="majorEastAsia" w:hAnsiTheme="majorEastAsia" w:eastAsiaTheme="majorEastAsia"/>
          <w:b/>
          <w:kern w:val="0"/>
          <w:sz w:val="36"/>
          <w:szCs w:val="36"/>
          <w:highlight w:val="none"/>
          <w:u w:val="none"/>
        </w:rPr>
      </w:pPr>
      <w:r>
        <w:rPr>
          <w:rFonts w:hint="eastAsia" w:cs="宋体" w:asciiTheme="majorEastAsia" w:hAnsiTheme="majorEastAsia" w:eastAsiaTheme="majorEastAsia"/>
          <w:b/>
          <w:kern w:val="0"/>
          <w:sz w:val="36"/>
          <w:szCs w:val="36"/>
          <w:highlight w:val="none"/>
          <w:u w:val="none"/>
        </w:rPr>
        <w:t>南山区自主创新产业发展专项资金</w:t>
      </w:r>
    </w:p>
    <w:p>
      <w:pPr>
        <w:widowControl/>
        <w:shd w:val="clear" w:color="auto" w:fill="FFFFFF"/>
        <w:spacing w:line="360" w:lineRule="auto"/>
        <w:ind w:firstLine="0" w:firstLineChars="0"/>
        <w:jc w:val="center"/>
        <w:rPr>
          <w:rFonts w:cs="宋体" w:asciiTheme="majorEastAsia" w:hAnsiTheme="majorEastAsia" w:eastAsiaTheme="majorEastAsia"/>
          <w:b/>
          <w:kern w:val="0"/>
          <w:sz w:val="36"/>
          <w:szCs w:val="36"/>
          <w:highlight w:val="none"/>
          <w:u w:val="none"/>
        </w:rPr>
      </w:pPr>
      <w:r>
        <w:rPr>
          <w:rFonts w:hint="eastAsia" w:cs="宋体" w:asciiTheme="majorEastAsia" w:hAnsiTheme="majorEastAsia" w:eastAsiaTheme="majorEastAsia"/>
          <w:b/>
          <w:kern w:val="0"/>
          <w:sz w:val="36"/>
          <w:szCs w:val="36"/>
          <w:highlight w:val="none"/>
          <w:u w:val="none"/>
        </w:rPr>
        <w:t>文化产业发展分项资金实施细则</w:t>
      </w:r>
    </w:p>
    <w:p>
      <w:pPr>
        <w:widowControl/>
        <w:shd w:val="clear" w:color="auto" w:fill="FFFFFF"/>
        <w:spacing w:line="360" w:lineRule="auto"/>
        <w:ind w:firstLine="0" w:firstLineChars="0"/>
        <w:jc w:val="center"/>
        <w:rPr>
          <w:rFonts w:cs="宋体" w:asciiTheme="majorEastAsia" w:hAnsiTheme="majorEastAsia" w:eastAsiaTheme="majorEastAsia"/>
          <w:b/>
          <w:kern w:val="0"/>
          <w:sz w:val="36"/>
          <w:szCs w:val="36"/>
          <w:highlight w:val="none"/>
          <w:u w:val="none"/>
        </w:rPr>
      </w:pPr>
      <w:r>
        <w:rPr>
          <w:rFonts w:hint="eastAsia" w:cs="宋体" w:asciiTheme="majorEastAsia" w:hAnsiTheme="majorEastAsia" w:eastAsiaTheme="majorEastAsia"/>
          <w:b/>
          <w:kern w:val="0"/>
          <w:sz w:val="36"/>
          <w:szCs w:val="36"/>
          <w:highlight w:val="none"/>
          <w:u w:val="none"/>
        </w:rPr>
        <w:t>（</w:t>
      </w:r>
      <w:r>
        <w:rPr>
          <w:rFonts w:hint="eastAsia" w:cs="宋体" w:asciiTheme="majorEastAsia" w:hAnsiTheme="majorEastAsia" w:eastAsiaTheme="majorEastAsia"/>
          <w:b/>
          <w:kern w:val="0"/>
          <w:sz w:val="36"/>
          <w:szCs w:val="36"/>
          <w:highlight w:val="none"/>
          <w:u w:val="none"/>
          <w:lang w:val="en-US" w:eastAsia="zh-CN"/>
        </w:rPr>
        <w:t>征求意见稿</w:t>
      </w:r>
      <w:r>
        <w:rPr>
          <w:rFonts w:hint="eastAsia" w:cs="宋体" w:asciiTheme="majorEastAsia" w:hAnsiTheme="majorEastAsia" w:eastAsiaTheme="majorEastAsia"/>
          <w:b/>
          <w:kern w:val="0"/>
          <w:sz w:val="36"/>
          <w:szCs w:val="36"/>
          <w:highlight w:val="none"/>
          <w:u w:val="none"/>
        </w:rPr>
        <w:t>）</w:t>
      </w:r>
    </w:p>
    <w:p>
      <w:pPr>
        <w:widowControl/>
        <w:shd w:val="clear" w:color="auto" w:fill="FFFFFF"/>
        <w:spacing w:line="360" w:lineRule="auto"/>
        <w:ind w:firstLine="640"/>
        <w:jc w:val="center"/>
        <w:rPr>
          <w:rFonts w:cs="宋体"/>
          <w:kern w:val="0"/>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第一章</w:t>
      </w:r>
      <w:r>
        <w:rPr>
          <w:rFonts w:ascii="黑体" w:hAnsi="黑体" w:eastAsia="黑体" w:cs="宋体"/>
          <w:kern w:val="0"/>
          <w:szCs w:val="32"/>
          <w:highlight w:val="none"/>
          <w:u w:val="none"/>
        </w:rPr>
        <w:t xml:space="preserve"> </w:t>
      </w:r>
      <w:r>
        <w:rPr>
          <w:rFonts w:hint="eastAsia" w:ascii="黑体" w:hAnsi="黑体" w:eastAsia="黑体" w:cs="宋体"/>
          <w:kern w:val="0"/>
          <w:szCs w:val="32"/>
          <w:highlight w:val="none"/>
          <w:u w:val="none"/>
        </w:rPr>
        <w:t>总则</w:t>
      </w:r>
    </w:p>
    <w:p>
      <w:pPr>
        <w:widowControl/>
        <w:shd w:val="clear" w:color="auto" w:fill="FFFFFF"/>
        <w:spacing w:line="360" w:lineRule="auto"/>
        <w:ind w:firstLine="643"/>
        <w:rPr>
          <w:rFonts w:cs="宋体"/>
          <w:kern w:val="0"/>
          <w:szCs w:val="32"/>
          <w:highlight w:val="none"/>
          <w:u w:val="none"/>
          <w:shd w:val="clear" w:color="FFFFFF" w:fill="D9D9D9"/>
        </w:rPr>
      </w:pPr>
      <w:r>
        <w:rPr>
          <w:rFonts w:hint="eastAsia" w:cs="宋体"/>
          <w:b/>
          <w:kern w:val="0"/>
          <w:szCs w:val="32"/>
          <w:highlight w:val="none"/>
          <w:u w:val="none"/>
        </w:rPr>
        <w:t xml:space="preserve">第一条 </w:t>
      </w:r>
      <w:r>
        <w:rPr>
          <w:rFonts w:hint="eastAsia" w:cs="宋体"/>
          <w:kern w:val="0"/>
          <w:szCs w:val="32"/>
          <w:highlight w:val="none"/>
          <w:u w:val="none"/>
        </w:rPr>
        <w:t>为提升南山区文化产业核心竞争力和“软实力”，推动南山区文化产业跨越式发展，按照国家及省、市、区有关文化产业发展规划，根据《南山区自主创新产业发展专项资金管理办法》的规定和要求，制定本实施细则。</w:t>
      </w:r>
    </w:p>
    <w:p>
      <w:pPr>
        <w:ind w:firstLine="643"/>
        <w:rPr>
          <w:rFonts w:cs="宋体"/>
          <w:kern w:val="0"/>
          <w:szCs w:val="32"/>
          <w:highlight w:val="none"/>
          <w:u w:val="none"/>
        </w:rPr>
      </w:pPr>
      <w:r>
        <w:rPr>
          <w:rFonts w:hint="eastAsia" w:cs="宋体"/>
          <w:b/>
          <w:kern w:val="0"/>
          <w:szCs w:val="32"/>
          <w:highlight w:val="none"/>
          <w:u w:val="none"/>
        </w:rPr>
        <w:t xml:space="preserve">第二条 </w:t>
      </w:r>
      <w:r>
        <w:rPr>
          <w:rFonts w:hint="eastAsia" w:cs="宋体"/>
          <w:kern w:val="0"/>
          <w:szCs w:val="32"/>
          <w:highlight w:val="none"/>
          <w:u w:val="none"/>
        </w:rPr>
        <w:t>区</w:t>
      </w:r>
      <w:r>
        <w:rPr>
          <w:rFonts w:hint="eastAsia" w:cs="宋体"/>
          <w:kern w:val="0"/>
          <w:szCs w:val="32"/>
          <w:highlight w:val="none"/>
          <w:u w:val="none"/>
          <w:shd w:val="clear" w:color="auto" w:fill="auto"/>
        </w:rPr>
        <w:t>文化广电旅游体育局</w:t>
      </w:r>
      <w:r>
        <w:rPr>
          <w:rFonts w:hint="eastAsia" w:cs="宋体"/>
          <w:kern w:val="0"/>
          <w:szCs w:val="32"/>
          <w:highlight w:val="none"/>
          <w:u w:val="none"/>
        </w:rPr>
        <w:t>为本分项资金的主管部门，区自主创新产业发展专项资金领导小组为本分项资金的决策审批机构，相关部门按有关规定履行职责。</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第三条</w:t>
      </w:r>
      <w:r>
        <w:rPr>
          <w:rFonts w:hint="eastAsia" w:cs="宋体"/>
          <w:kern w:val="0"/>
          <w:szCs w:val="32"/>
          <w:highlight w:val="none"/>
          <w:u w:val="none"/>
        </w:rPr>
        <w:t xml:space="preserve"> 本分项资金均采用核准制方式安排资金。申报单位年度获得的资助总额原则上不超过上年度形成的南山区地方财力。推动产业园区建设和发展类资助、鼓励参加、举办文化（体育）产业重大展会和交流活动类资助、鼓励原创文化精品创作及IP运营类资助、鼓励企业稳增长及开展创优评级、促进文化科技金融融合类资助、引进和培育骨干及重点企业类资助中的园区外房补资助、支持旅游业创新发展类资助中的鼓励挖掘特色旅游项目资助、支持开展旅游行业推广活动资助和支持游轮旅游发展资助不受此限制。</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第四条</w:t>
      </w:r>
      <w:r>
        <w:rPr>
          <w:rFonts w:hint="eastAsia" w:cs="宋体"/>
          <w:kern w:val="0"/>
          <w:szCs w:val="32"/>
          <w:highlight w:val="none"/>
          <w:u w:val="none"/>
        </w:rPr>
        <w:t xml:space="preserve"> 本分项资金的申报单位必须满足以下基本条件：</w:t>
      </w:r>
    </w:p>
    <w:p>
      <w:pPr>
        <w:widowControl/>
        <w:shd w:val="clear" w:color="auto" w:fill="FFFFFF"/>
        <w:spacing w:line="360" w:lineRule="auto"/>
        <w:ind w:firstLine="640"/>
        <w:jc w:val="left"/>
        <w:rPr>
          <w:rFonts w:eastAsia="仿宋" w:cs="宋体"/>
          <w:kern w:val="0"/>
          <w:szCs w:val="32"/>
          <w:highlight w:val="none"/>
          <w:u w:val="none"/>
          <w:shd w:val="clear" w:color="auto" w:fill="auto"/>
        </w:rPr>
      </w:pPr>
      <w:r>
        <w:rPr>
          <w:rFonts w:hint="eastAsia" w:cs="宋体"/>
          <w:kern w:val="0"/>
          <w:szCs w:val="32"/>
          <w:highlight w:val="none"/>
          <w:u w:val="none"/>
        </w:rPr>
        <w:t>１．在南山辖区内登记注册、经营、具有独立法人资格；</w:t>
      </w:r>
      <w:r>
        <w:rPr>
          <w:rFonts w:hint="eastAsia" w:cs="宋体"/>
          <w:kern w:val="0"/>
          <w:szCs w:val="32"/>
          <w:highlight w:val="none"/>
          <w:u w:val="none"/>
          <w:shd w:val="clear" w:color="auto" w:fill="auto"/>
        </w:rPr>
        <w:t>注册地在南山区的旅游企业在本辖区设立、经营的分支机构（申报“旅游行业奖励”和“支持旅游业创新发展”项目资助的）；</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２．守法经营、诚实守信、有规范健全的财务制度；</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３．根据区统计部门或区</w:t>
      </w:r>
      <w:r>
        <w:rPr>
          <w:rFonts w:hint="eastAsia" w:cs="宋体"/>
          <w:kern w:val="0"/>
          <w:szCs w:val="32"/>
          <w:highlight w:val="none"/>
          <w:u w:val="none"/>
          <w:shd w:val="clear" w:color="auto" w:fill="auto"/>
        </w:rPr>
        <w:t>文化广电旅游体育局</w:t>
      </w:r>
      <w:r>
        <w:rPr>
          <w:rFonts w:hint="eastAsia" w:cs="宋体"/>
          <w:kern w:val="0"/>
          <w:szCs w:val="32"/>
          <w:highlight w:val="none"/>
          <w:u w:val="none"/>
        </w:rPr>
        <w:t>的要求，按时报送统计数据。</w:t>
      </w:r>
    </w:p>
    <w:p>
      <w:pPr>
        <w:widowControl/>
        <w:shd w:val="clear" w:color="auto" w:fill="FFFFFF"/>
        <w:spacing w:line="360" w:lineRule="auto"/>
        <w:ind w:firstLine="640"/>
        <w:jc w:val="center"/>
        <w:rPr>
          <w:rFonts w:ascii="黑体" w:hAnsi="黑体" w:eastAsia="黑体" w:cs="宋体"/>
          <w:kern w:val="0"/>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第二章</w:t>
      </w:r>
      <w:r>
        <w:rPr>
          <w:rFonts w:ascii="黑体" w:hAnsi="黑体" w:eastAsia="黑体" w:cs="宋体"/>
          <w:kern w:val="0"/>
          <w:szCs w:val="32"/>
          <w:highlight w:val="none"/>
          <w:u w:val="none"/>
        </w:rPr>
        <w:t xml:space="preserve"> </w:t>
      </w:r>
      <w:r>
        <w:rPr>
          <w:rFonts w:hint="eastAsia" w:ascii="黑体" w:hAnsi="黑体" w:eastAsia="黑体" w:cs="宋体"/>
          <w:kern w:val="0"/>
          <w:szCs w:val="32"/>
          <w:highlight w:val="none"/>
          <w:u w:val="none"/>
        </w:rPr>
        <w:t>推动产业园区建设和发展</w:t>
      </w:r>
    </w:p>
    <w:p>
      <w:pPr>
        <w:widowControl/>
        <w:shd w:val="clear" w:color="auto" w:fill="FFFFFF"/>
        <w:spacing w:line="360" w:lineRule="auto"/>
        <w:ind w:firstLine="643"/>
        <w:jc w:val="left"/>
        <w:rPr>
          <w:szCs w:val="32"/>
          <w:highlight w:val="none"/>
          <w:u w:val="none"/>
        </w:rPr>
      </w:pPr>
      <w:r>
        <w:rPr>
          <w:rFonts w:hint="eastAsia" w:cs="宋体"/>
          <w:b/>
          <w:kern w:val="0"/>
          <w:szCs w:val="32"/>
          <w:highlight w:val="none"/>
          <w:u w:val="none"/>
        </w:rPr>
        <w:t xml:space="preserve">第五条 </w:t>
      </w:r>
      <w:r>
        <w:rPr>
          <w:rFonts w:hint="eastAsia"/>
          <w:szCs w:val="32"/>
          <w:highlight w:val="none"/>
          <w:u w:val="none"/>
        </w:rPr>
        <w:t>支持社会机构进行</w:t>
      </w:r>
      <w:r>
        <w:rPr>
          <w:rFonts w:hint="eastAsia"/>
          <w:szCs w:val="32"/>
          <w:highlight w:val="none"/>
          <w:u w:val="none"/>
          <w:shd w:val="clear" w:color="auto" w:fill="auto"/>
        </w:rPr>
        <w:t>产业</w:t>
      </w:r>
      <w:r>
        <w:rPr>
          <w:rFonts w:hint="eastAsia"/>
          <w:szCs w:val="32"/>
          <w:highlight w:val="none"/>
          <w:u w:val="none"/>
        </w:rPr>
        <w:t>园区建设和改造，经认定的市级以上文化（体育）产业园区，对园区的基础设施建设费用按照实际投入资金的20%予以一次性补贴资助，每个项目获得的资助金额最高不超过300万元。</w:t>
      </w:r>
    </w:p>
    <w:p>
      <w:pPr>
        <w:widowControl/>
        <w:shd w:val="clear" w:color="auto" w:fill="FFFFFF"/>
        <w:spacing w:line="360" w:lineRule="auto"/>
        <w:ind w:firstLine="643"/>
        <w:jc w:val="left"/>
        <w:rPr>
          <w:rFonts w:cs="宋体"/>
          <w:bCs/>
          <w:kern w:val="0"/>
          <w:szCs w:val="32"/>
          <w:highlight w:val="none"/>
          <w:u w:val="none"/>
        </w:rPr>
      </w:pPr>
      <w:r>
        <w:rPr>
          <w:rFonts w:hint="eastAsia" w:cs="宋体"/>
          <w:b/>
          <w:kern w:val="0"/>
          <w:szCs w:val="32"/>
          <w:highlight w:val="none"/>
          <w:u w:val="none"/>
        </w:rPr>
        <w:t xml:space="preserve"> 第六条 </w:t>
      </w:r>
      <w:r>
        <w:rPr>
          <w:rFonts w:hint="eastAsia" w:cs="宋体"/>
          <w:bCs/>
          <w:kern w:val="0"/>
          <w:szCs w:val="32"/>
          <w:highlight w:val="none"/>
          <w:u w:val="none"/>
        </w:rPr>
        <w:t>引导和鼓励文化（体育）企业以入驻产业园区的方式集聚发展。</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对“三旧”改造为文化产业园区，在获得市级认定前，经区专项资金领导小组审定后，对入驻企业给予房租补贴资助。补贴标准为每平方米不超过15元，每个入驻企业年度补贴额最高不超过50万元。此类资助每个园区每年总额不超过150万元，补贴期限不超过2年。</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对入驻经认定的市级以上文化</w:t>
      </w:r>
      <w:r>
        <w:rPr>
          <w:rFonts w:hint="eastAsia"/>
          <w:szCs w:val="32"/>
          <w:highlight w:val="none"/>
          <w:u w:val="none"/>
        </w:rPr>
        <w:t>（体育）</w:t>
      </w:r>
      <w:r>
        <w:rPr>
          <w:rFonts w:hint="eastAsia" w:cs="宋体"/>
          <w:kern w:val="0"/>
          <w:szCs w:val="32"/>
          <w:highlight w:val="none"/>
          <w:u w:val="none"/>
        </w:rPr>
        <w:t>产业园区的文化（体育）企业，且形成了一定的营业收入的，可给予房租补贴资助。上年度营业收入达到500万元的，补贴标准为上年度实际支付租金的20%，每家企业每年补贴额最高不超过50万元；“四上”在库企业补贴标准为上年度实际支付租金的25%，每家企业每年补贴额最高不超过60万元；上年度营收超亿元企业补贴标准为上年度实际支付租金的30%，每家企业每年补贴额最高不超过70万元；每家企业补贴期限不超过3年。</w:t>
      </w:r>
    </w:p>
    <w:p>
      <w:pPr>
        <w:widowControl/>
        <w:shd w:val="clear" w:color="auto" w:fill="FFFFFF"/>
        <w:spacing w:line="360" w:lineRule="auto"/>
        <w:ind w:firstLine="643"/>
        <w:rPr>
          <w:rFonts w:hint="eastAsia"/>
          <w:szCs w:val="32"/>
          <w:highlight w:val="none"/>
          <w:u w:val="none"/>
        </w:rPr>
      </w:pPr>
      <w:r>
        <w:rPr>
          <w:rFonts w:hint="eastAsia"/>
          <w:b/>
          <w:bCs/>
          <w:szCs w:val="32"/>
          <w:highlight w:val="none"/>
          <w:u w:val="none"/>
        </w:rPr>
        <w:t>第七条</w:t>
      </w:r>
      <w:r>
        <w:rPr>
          <w:rFonts w:hint="eastAsia"/>
          <w:szCs w:val="32"/>
          <w:highlight w:val="none"/>
          <w:u w:val="none"/>
        </w:rPr>
        <w:t xml:space="preserve"> 鼓励产业园区积极引进和培育优质文化</w:t>
      </w:r>
      <w:r>
        <w:rPr>
          <w:rFonts w:hint="eastAsia" w:cs="宋体"/>
          <w:kern w:val="0"/>
          <w:szCs w:val="32"/>
          <w:highlight w:val="none"/>
          <w:u w:val="none"/>
        </w:rPr>
        <w:t>（体育）</w:t>
      </w:r>
      <w:r>
        <w:rPr>
          <w:rFonts w:hint="eastAsia"/>
          <w:szCs w:val="32"/>
          <w:highlight w:val="none"/>
          <w:u w:val="none"/>
        </w:rPr>
        <w:t>企业。经区统计部门确认后，园区内“四上”在库文化</w:t>
      </w:r>
      <w:r>
        <w:rPr>
          <w:rFonts w:hint="eastAsia" w:cs="宋体"/>
          <w:kern w:val="0"/>
          <w:szCs w:val="32"/>
          <w:highlight w:val="none"/>
          <w:u w:val="none"/>
        </w:rPr>
        <w:t>（体育）</w:t>
      </w:r>
      <w:r>
        <w:rPr>
          <w:rFonts w:hint="eastAsia"/>
          <w:szCs w:val="32"/>
          <w:highlight w:val="none"/>
          <w:u w:val="none"/>
        </w:rPr>
        <w:t>企业每增加5家，对园区运营单位奖励10万元；培育或从南山区外新引进一家年收入超亿元文化</w:t>
      </w:r>
      <w:r>
        <w:rPr>
          <w:rFonts w:hint="eastAsia" w:cs="宋体"/>
          <w:kern w:val="0"/>
          <w:szCs w:val="32"/>
          <w:highlight w:val="none"/>
          <w:u w:val="none"/>
        </w:rPr>
        <w:t>（体育）</w:t>
      </w:r>
      <w:r>
        <w:rPr>
          <w:rFonts w:hint="eastAsia"/>
          <w:szCs w:val="32"/>
          <w:highlight w:val="none"/>
          <w:u w:val="none"/>
        </w:rPr>
        <w:t>企业奖励20万元；培育或从南山区外新引进一家上市公司（不含全国中小企业股份转让系统挂牌企业）奖励30万元。每个园区每年奖励最高不超过150万元。</w:t>
      </w:r>
    </w:p>
    <w:p>
      <w:pPr>
        <w:widowControl/>
        <w:shd w:val="clear" w:color="auto" w:fill="FFFFFF"/>
        <w:spacing w:line="360" w:lineRule="auto"/>
        <w:ind w:firstLine="640" w:firstLineChars="0"/>
        <w:jc w:val="left"/>
        <w:rPr>
          <w:rFonts w:hint="eastAsia" w:cs="宋体"/>
          <w:bCs/>
          <w:kern w:val="0"/>
          <w:szCs w:val="32"/>
          <w:highlight w:val="none"/>
          <w:u w:val="none"/>
        </w:rPr>
      </w:pPr>
      <w:r>
        <w:rPr>
          <w:rFonts w:hint="eastAsia" w:cs="宋体"/>
          <w:kern w:val="0"/>
          <w:szCs w:val="32"/>
          <w:highlight w:val="none"/>
          <w:u w:val="none"/>
        </w:rPr>
        <w:t>园区稳增长奖励</w:t>
      </w:r>
      <w:r>
        <w:rPr>
          <w:rFonts w:hint="eastAsia" w:cs="宋体"/>
          <w:kern w:val="0"/>
          <w:szCs w:val="32"/>
          <w:highlight w:val="none"/>
          <w:u w:val="none"/>
          <w:lang w:eastAsia="zh-CN"/>
        </w:rPr>
        <w:t>。</w:t>
      </w:r>
      <w:r>
        <w:rPr>
          <w:rFonts w:hint="eastAsia" w:cs="宋体"/>
          <w:bCs/>
          <w:kern w:val="0"/>
          <w:szCs w:val="32"/>
          <w:highlight w:val="none"/>
          <w:u w:val="none"/>
        </w:rPr>
        <w:t>文化</w:t>
      </w:r>
      <w:r>
        <w:rPr>
          <w:rFonts w:hint="eastAsia" w:cs="宋体"/>
          <w:kern w:val="0"/>
          <w:szCs w:val="32"/>
          <w:highlight w:val="none"/>
          <w:u w:val="none"/>
        </w:rPr>
        <w:t>（体育）</w:t>
      </w:r>
      <w:r>
        <w:rPr>
          <w:rFonts w:hint="eastAsia" w:cs="宋体"/>
          <w:bCs/>
          <w:kern w:val="0"/>
          <w:szCs w:val="32"/>
          <w:highlight w:val="none"/>
          <w:u w:val="none"/>
        </w:rPr>
        <w:t>产业园区内所有“四上”在库文化</w:t>
      </w:r>
      <w:r>
        <w:rPr>
          <w:rFonts w:hint="eastAsia" w:cs="宋体"/>
          <w:kern w:val="0"/>
          <w:szCs w:val="32"/>
          <w:highlight w:val="none"/>
          <w:u w:val="none"/>
        </w:rPr>
        <w:t>（体育）企业</w:t>
      </w:r>
      <w:r>
        <w:rPr>
          <w:rFonts w:hint="eastAsia" w:cs="宋体"/>
          <w:bCs/>
          <w:kern w:val="0"/>
          <w:szCs w:val="32"/>
          <w:highlight w:val="none"/>
          <w:u w:val="none"/>
        </w:rPr>
        <w:t>年度总收入之和比上年度同比每增长20％的，奖励园区运营单位30万元。每个园区每年奖励最高不超过150万元。</w:t>
      </w:r>
    </w:p>
    <w:p>
      <w:pPr>
        <w:widowControl/>
        <w:shd w:val="clear" w:color="auto" w:fill="FFFFFF"/>
        <w:spacing w:line="360" w:lineRule="auto"/>
        <w:ind w:firstLine="643"/>
        <w:jc w:val="left"/>
        <w:rPr>
          <w:rFonts w:cs="宋体"/>
          <w:bCs/>
          <w:kern w:val="0"/>
          <w:szCs w:val="32"/>
          <w:highlight w:val="none"/>
          <w:u w:val="none"/>
        </w:rPr>
      </w:pPr>
      <w:r>
        <w:rPr>
          <w:rFonts w:hint="eastAsia" w:cs="宋体"/>
          <w:b/>
          <w:kern w:val="0"/>
          <w:szCs w:val="32"/>
          <w:highlight w:val="none"/>
          <w:u w:val="none"/>
        </w:rPr>
        <w:t>第八条</w:t>
      </w:r>
      <w:r>
        <w:rPr>
          <w:rFonts w:hint="eastAsia" w:cs="宋体"/>
          <w:bCs/>
          <w:kern w:val="0"/>
          <w:szCs w:val="32"/>
          <w:highlight w:val="none"/>
          <w:u w:val="none"/>
        </w:rPr>
        <w:t> 支持产业园区塑造品牌、扩大知名度，进一步做大做强。对产业园区运营单位在社会媒体进行对外宣传推广，按实际发生费用的50％给予资助；对园区运营单位在园区内举办经备案的较有影响力的品牌活动，对其中一项按实际发生费用的50％给予资助。此类资助每个园区每年最高不超过100万元。</w:t>
      </w:r>
    </w:p>
    <w:p>
      <w:pPr>
        <w:pStyle w:val="11"/>
        <w:spacing w:line="360" w:lineRule="auto"/>
        <w:rPr>
          <w:sz w:val="32"/>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第三章</w:t>
      </w:r>
      <w:r>
        <w:rPr>
          <w:rFonts w:ascii="黑体" w:hAnsi="黑体" w:eastAsia="黑体" w:cs="宋体"/>
          <w:kern w:val="0"/>
          <w:szCs w:val="32"/>
          <w:highlight w:val="none"/>
          <w:u w:val="none"/>
        </w:rPr>
        <w:t xml:space="preserve"> </w:t>
      </w:r>
      <w:r>
        <w:rPr>
          <w:rFonts w:hint="eastAsia" w:ascii="黑体" w:hAnsi="黑体" w:eastAsia="黑体" w:cs="宋体"/>
          <w:kern w:val="0"/>
          <w:szCs w:val="32"/>
          <w:highlight w:val="none"/>
          <w:u w:val="none"/>
        </w:rPr>
        <w:t>引进和培育骨干及重点企业</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w:t>
      </w:r>
      <w:r>
        <w:rPr>
          <w:rFonts w:hint="eastAsia" w:cs="宋体"/>
          <w:b/>
          <w:kern w:val="0"/>
          <w:szCs w:val="32"/>
          <w:highlight w:val="none"/>
          <w:u w:val="none"/>
          <w:lang w:val="en-US" w:eastAsia="zh-CN"/>
        </w:rPr>
        <w:t>九</w:t>
      </w:r>
      <w:r>
        <w:rPr>
          <w:rFonts w:hint="eastAsia" w:cs="宋体"/>
          <w:b/>
          <w:kern w:val="0"/>
          <w:szCs w:val="32"/>
          <w:highlight w:val="none"/>
          <w:u w:val="none"/>
        </w:rPr>
        <w:t>条</w:t>
      </w:r>
      <w:r>
        <w:rPr>
          <w:rFonts w:hint="eastAsia" w:cs="宋体"/>
          <w:kern w:val="0"/>
          <w:szCs w:val="32"/>
          <w:highlight w:val="none"/>
          <w:u w:val="none"/>
        </w:rPr>
        <w:t xml:space="preserve"> 骨干企业标准与扶持。</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（一）南山区骨干文化（体育）企业需满足以下标准：</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１．具有经营决策、组织管理和服务等企业管理职能，核心营运机构、职能机构设在南山区；</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２．在南山区注册且持续经营一年（含）以上；</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３．上年度形成南山区地方财力不少于3</w:t>
      </w:r>
      <w:r>
        <w:rPr>
          <w:rFonts w:cs="宋体"/>
          <w:kern w:val="0"/>
          <w:szCs w:val="32"/>
          <w:highlight w:val="none"/>
          <w:u w:val="none"/>
        </w:rPr>
        <w:t>00</w:t>
      </w:r>
      <w:r>
        <w:rPr>
          <w:rFonts w:hint="eastAsia" w:cs="宋体"/>
          <w:kern w:val="0"/>
          <w:szCs w:val="32"/>
          <w:highlight w:val="none"/>
          <w:u w:val="none"/>
        </w:rPr>
        <w:t>万元；</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４．上年度营业收入不少于5亿元。</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未达到骨干企业标准，符合南山区文化（体育）产业发展战略和产业政策，能够填补产业空白，具有重大产业支撑作用的企业，经区政府批准，可参照此扶持政策执行。</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（二）骨干企业办公用房扶持：</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１．购置或租赁政府保障性办公用房。符合相关政策条件企业，可申请购买或租用市、区政府企业总部用房或创新型产业用房。</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２．购置社会办公用房补贴。上年度在南山区新购置自用办公商品房的，可按1</w:t>
      </w:r>
      <w:r>
        <w:rPr>
          <w:rFonts w:cs="宋体"/>
          <w:kern w:val="0"/>
          <w:szCs w:val="32"/>
          <w:highlight w:val="none"/>
          <w:u w:val="none"/>
        </w:rPr>
        <w:t>500</w:t>
      </w:r>
      <w:r>
        <w:rPr>
          <w:rFonts w:hint="eastAsia" w:cs="宋体"/>
          <w:kern w:val="0"/>
          <w:szCs w:val="32"/>
          <w:highlight w:val="none"/>
          <w:u w:val="none"/>
        </w:rPr>
        <w:t>元／平方米且不超过房屋均价的1</w:t>
      </w:r>
      <w:r>
        <w:rPr>
          <w:rFonts w:cs="宋体"/>
          <w:kern w:val="0"/>
          <w:szCs w:val="32"/>
          <w:highlight w:val="none"/>
          <w:u w:val="none"/>
        </w:rPr>
        <w:t>0</w:t>
      </w:r>
      <w:r>
        <w:rPr>
          <w:rFonts w:hint="eastAsia" w:cs="宋体"/>
          <w:kern w:val="0"/>
          <w:szCs w:val="32"/>
          <w:highlight w:val="none"/>
          <w:u w:val="none"/>
        </w:rPr>
        <w:t>%给予补贴，总额最高不超过1</w:t>
      </w:r>
      <w:r>
        <w:rPr>
          <w:rFonts w:cs="宋体"/>
          <w:kern w:val="0"/>
          <w:szCs w:val="32"/>
          <w:highlight w:val="none"/>
          <w:u w:val="none"/>
        </w:rPr>
        <w:t>500</w:t>
      </w:r>
      <w:r>
        <w:rPr>
          <w:rFonts w:hint="eastAsia" w:cs="宋体"/>
          <w:kern w:val="0"/>
          <w:szCs w:val="32"/>
          <w:highlight w:val="none"/>
          <w:u w:val="none"/>
        </w:rPr>
        <w:t>万元。补贴按照4</w:t>
      </w:r>
      <w:r>
        <w:rPr>
          <w:rFonts w:cs="宋体"/>
          <w:kern w:val="0"/>
          <w:szCs w:val="32"/>
          <w:highlight w:val="none"/>
          <w:u w:val="none"/>
        </w:rPr>
        <w:t>0</w:t>
      </w:r>
      <w:r>
        <w:rPr>
          <w:rFonts w:hint="eastAsia" w:cs="宋体"/>
          <w:kern w:val="0"/>
          <w:szCs w:val="32"/>
          <w:highlight w:val="none"/>
          <w:u w:val="none"/>
        </w:rPr>
        <w:t>%、3</w:t>
      </w:r>
      <w:r>
        <w:rPr>
          <w:rFonts w:cs="宋体"/>
          <w:kern w:val="0"/>
          <w:szCs w:val="32"/>
          <w:highlight w:val="none"/>
          <w:u w:val="none"/>
        </w:rPr>
        <w:t>0</w:t>
      </w:r>
      <w:r>
        <w:rPr>
          <w:rFonts w:hint="eastAsia" w:cs="宋体"/>
          <w:kern w:val="0"/>
          <w:szCs w:val="32"/>
          <w:highlight w:val="none"/>
          <w:u w:val="none"/>
        </w:rPr>
        <w:t>%、3</w:t>
      </w:r>
      <w:r>
        <w:rPr>
          <w:rFonts w:cs="宋体"/>
          <w:kern w:val="0"/>
          <w:szCs w:val="32"/>
          <w:highlight w:val="none"/>
          <w:u w:val="none"/>
        </w:rPr>
        <w:t>0</w:t>
      </w:r>
      <w:r>
        <w:rPr>
          <w:rFonts w:hint="eastAsia" w:cs="宋体"/>
          <w:kern w:val="0"/>
          <w:szCs w:val="32"/>
          <w:highlight w:val="none"/>
          <w:u w:val="none"/>
        </w:rPr>
        <w:t>%的比例分三年拨付。</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３．租赁社会办公用房补贴。上年度在南山区新租用的社会办公用房，可按照每月5</w:t>
      </w:r>
      <w:r>
        <w:rPr>
          <w:rFonts w:cs="宋体"/>
          <w:kern w:val="0"/>
          <w:szCs w:val="32"/>
          <w:highlight w:val="none"/>
          <w:u w:val="none"/>
        </w:rPr>
        <w:t>0</w:t>
      </w:r>
      <w:r>
        <w:rPr>
          <w:rFonts w:hint="eastAsia" w:cs="宋体"/>
          <w:kern w:val="0"/>
          <w:szCs w:val="32"/>
          <w:highlight w:val="none"/>
          <w:u w:val="none"/>
        </w:rPr>
        <w:t>元／平方米的标准给予房租补贴，每个企业年度补贴额最高不超过1</w:t>
      </w:r>
      <w:r>
        <w:rPr>
          <w:rFonts w:cs="宋体"/>
          <w:kern w:val="0"/>
          <w:szCs w:val="32"/>
          <w:highlight w:val="none"/>
          <w:u w:val="none"/>
        </w:rPr>
        <w:t>50</w:t>
      </w:r>
      <w:r>
        <w:rPr>
          <w:rFonts w:hint="eastAsia" w:cs="宋体"/>
          <w:kern w:val="0"/>
          <w:szCs w:val="32"/>
          <w:highlight w:val="none"/>
          <w:u w:val="none"/>
        </w:rPr>
        <w:t>万元，补贴期限不超过3年。</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每一骨干企业原则上只能享受以上一项扶持政策。</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达到深圳市或南山区总部企业认定标准的，或已享受市、区总部企业扶持政策的，不再享受本扶持政策。</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第十条</w:t>
      </w:r>
      <w:r>
        <w:rPr>
          <w:rFonts w:hint="eastAsia" w:cs="宋体"/>
          <w:kern w:val="0"/>
          <w:szCs w:val="32"/>
          <w:highlight w:val="none"/>
          <w:u w:val="none"/>
        </w:rPr>
        <w:t xml:space="preserve"> 重点企业房租补贴。对于属于文化（体育）产业重点发展领域，在南山区注册并持续经营一年以上，年收入在5</w:t>
      </w:r>
      <w:r>
        <w:rPr>
          <w:rFonts w:cs="宋体"/>
          <w:kern w:val="0"/>
          <w:szCs w:val="32"/>
          <w:highlight w:val="none"/>
          <w:u w:val="none"/>
        </w:rPr>
        <w:t>000</w:t>
      </w:r>
      <w:r>
        <w:rPr>
          <w:rFonts w:hint="eastAsia" w:cs="宋体"/>
          <w:kern w:val="0"/>
          <w:szCs w:val="32"/>
          <w:highlight w:val="none"/>
          <w:u w:val="none"/>
        </w:rPr>
        <w:t>万元以上，办公场地在南山区经认定的文化（体育）产业园区外的文化（体育）企业，给予房租补贴资助。补贴标准为每平方米3</w:t>
      </w:r>
      <w:r>
        <w:rPr>
          <w:rFonts w:cs="宋体"/>
          <w:kern w:val="0"/>
          <w:szCs w:val="32"/>
          <w:highlight w:val="none"/>
          <w:u w:val="none"/>
        </w:rPr>
        <w:t>0</w:t>
      </w:r>
      <w:r>
        <w:rPr>
          <w:rFonts w:hint="eastAsia" w:cs="宋体"/>
          <w:kern w:val="0"/>
          <w:szCs w:val="32"/>
          <w:highlight w:val="none"/>
          <w:u w:val="none"/>
        </w:rPr>
        <w:t>元，每个单位年度补贴额最高不超过6</w:t>
      </w:r>
      <w:r>
        <w:rPr>
          <w:rFonts w:cs="宋体"/>
          <w:kern w:val="0"/>
          <w:szCs w:val="32"/>
          <w:highlight w:val="none"/>
          <w:u w:val="none"/>
        </w:rPr>
        <w:t>0</w:t>
      </w:r>
      <w:r>
        <w:rPr>
          <w:rFonts w:hint="eastAsia" w:cs="宋体"/>
          <w:kern w:val="0"/>
          <w:szCs w:val="32"/>
          <w:highlight w:val="none"/>
          <w:u w:val="none"/>
        </w:rPr>
        <w:t>万元，补贴期限不超过3年。</w:t>
      </w:r>
    </w:p>
    <w:p>
      <w:pPr>
        <w:widowControl/>
        <w:shd w:val="clear" w:color="auto" w:fill="FFFFFF"/>
        <w:spacing w:line="360" w:lineRule="auto"/>
        <w:ind w:firstLine="640"/>
        <w:jc w:val="left"/>
        <w:rPr>
          <w:rFonts w:cs="宋体"/>
          <w:bCs/>
          <w:kern w:val="0"/>
          <w:szCs w:val="32"/>
          <w:highlight w:val="none"/>
          <w:u w:val="none"/>
        </w:rPr>
      </w:pPr>
    </w:p>
    <w:p>
      <w:pPr>
        <w:pStyle w:val="11"/>
        <w:spacing w:line="360" w:lineRule="auto"/>
        <w:rPr>
          <w:sz w:val="32"/>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第四章</w:t>
      </w:r>
      <w:r>
        <w:rPr>
          <w:rFonts w:ascii="黑体" w:hAnsi="黑体" w:eastAsia="黑体" w:cs="宋体"/>
          <w:kern w:val="0"/>
          <w:szCs w:val="32"/>
          <w:highlight w:val="none"/>
          <w:u w:val="none"/>
        </w:rPr>
        <w:t xml:space="preserve"> </w:t>
      </w:r>
      <w:r>
        <w:rPr>
          <w:rFonts w:hint="eastAsia" w:ascii="黑体" w:hAnsi="黑体" w:eastAsia="黑体" w:cs="宋体"/>
          <w:kern w:val="0"/>
          <w:szCs w:val="32"/>
          <w:highlight w:val="none"/>
          <w:u w:val="none"/>
        </w:rPr>
        <w:t>鼓励参加、举办文化</w:t>
      </w:r>
      <w:r>
        <w:rPr>
          <w:rFonts w:hint="eastAsia" w:ascii="黑体" w:hAnsi="黑体" w:eastAsia="黑体" w:cs="宋体"/>
          <w:kern w:val="0"/>
          <w:szCs w:val="32"/>
          <w:highlight w:val="none"/>
          <w:u w:val="none"/>
          <w:shd w:val="clear" w:color="auto" w:fill="auto"/>
        </w:rPr>
        <w:t>（体育）</w:t>
      </w:r>
      <w:r>
        <w:rPr>
          <w:rFonts w:hint="eastAsia" w:ascii="黑体" w:hAnsi="黑体" w:eastAsia="黑体" w:cs="宋体"/>
          <w:kern w:val="0"/>
          <w:szCs w:val="32"/>
          <w:highlight w:val="none"/>
          <w:u w:val="none"/>
        </w:rPr>
        <w:t>产业重大展会和交流活动</w:t>
      </w:r>
    </w:p>
    <w:p>
      <w:pPr>
        <w:widowControl/>
        <w:shd w:val="clear" w:color="auto" w:fill="FFFFFF"/>
        <w:snapToGrid w:val="0"/>
        <w:spacing w:line="360" w:lineRule="auto"/>
        <w:ind w:firstLine="643"/>
        <w:jc w:val="left"/>
        <w:rPr>
          <w:rFonts w:cs="宋体"/>
          <w:kern w:val="0"/>
          <w:szCs w:val="32"/>
          <w:highlight w:val="none"/>
          <w:u w:val="none"/>
        </w:rPr>
      </w:pPr>
      <w:r>
        <w:rPr>
          <w:rFonts w:hint="eastAsia" w:cs="宋体"/>
          <w:b/>
          <w:kern w:val="0"/>
          <w:szCs w:val="32"/>
          <w:highlight w:val="none"/>
          <w:u w:val="none"/>
        </w:rPr>
        <w:t>第十</w:t>
      </w:r>
      <w:r>
        <w:rPr>
          <w:rFonts w:hint="eastAsia" w:cs="宋体"/>
          <w:b/>
          <w:kern w:val="0"/>
          <w:szCs w:val="32"/>
          <w:highlight w:val="none"/>
          <w:u w:val="none"/>
          <w:lang w:val="en-US" w:eastAsia="zh-CN"/>
        </w:rPr>
        <w:t>一</w:t>
      </w:r>
      <w:r>
        <w:rPr>
          <w:rFonts w:hint="eastAsia" w:cs="宋体"/>
          <w:b/>
          <w:kern w:val="0"/>
          <w:szCs w:val="32"/>
          <w:highlight w:val="none"/>
          <w:u w:val="none"/>
        </w:rPr>
        <w:t>条</w:t>
      </w:r>
      <w:r>
        <w:rPr>
          <w:rFonts w:hint="eastAsia" w:cs="宋体"/>
          <w:kern w:val="0"/>
          <w:szCs w:val="32"/>
          <w:highlight w:val="none"/>
          <w:u w:val="none"/>
        </w:rPr>
        <w:t xml:space="preserve"> 支持企业参加文化（体育）产业重大展会。对文化企事业单位单独参加经认可的重大文化（体育）产业展会的，按不超过实际场租费、展品运输费、展位搭建费的5</w:t>
      </w:r>
      <w:r>
        <w:rPr>
          <w:rFonts w:cs="宋体"/>
          <w:kern w:val="0"/>
          <w:szCs w:val="32"/>
          <w:highlight w:val="none"/>
          <w:u w:val="none"/>
        </w:rPr>
        <w:t>0</w:t>
      </w:r>
      <w:r>
        <w:rPr>
          <w:rFonts w:hint="eastAsia" w:cs="宋体"/>
          <w:kern w:val="0"/>
          <w:szCs w:val="32"/>
          <w:highlight w:val="none"/>
          <w:u w:val="none"/>
        </w:rPr>
        <w:t>%的比例给予补贴，每项会展补贴总额不超过2</w:t>
      </w:r>
      <w:r>
        <w:rPr>
          <w:rFonts w:cs="宋体"/>
          <w:kern w:val="0"/>
          <w:szCs w:val="32"/>
          <w:highlight w:val="none"/>
          <w:u w:val="none"/>
        </w:rPr>
        <w:t>0</w:t>
      </w:r>
      <w:r>
        <w:rPr>
          <w:rFonts w:hint="eastAsia" w:cs="宋体"/>
          <w:kern w:val="0"/>
          <w:szCs w:val="32"/>
          <w:highlight w:val="none"/>
          <w:u w:val="none"/>
        </w:rPr>
        <w:t>万元；每家企业每年获得参展补贴总额最高不超过1</w:t>
      </w:r>
      <w:r>
        <w:rPr>
          <w:rFonts w:cs="宋体"/>
          <w:kern w:val="0"/>
          <w:szCs w:val="32"/>
          <w:highlight w:val="none"/>
          <w:u w:val="none"/>
        </w:rPr>
        <w:t>00</w:t>
      </w:r>
      <w:r>
        <w:rPr>
          <w:rFonts w:hint="eastAsia" w:cs="宋体"/>
          <w:kern w:val="0"/>
          <w:szCs w:val="32"/>
          <w:highlight w:val="none"/>
          <w:u w:val="none"/>
        </w:rPr>
        <w:t>万元。</w:t>
      </w:r>
    </w:p>
    <w:p>
      <w:pPr>
        <w:widowControl/>
        <w:shd w:val="clear" w:color="auto" w:fill="FFFFFF"/>
        <w:snapToGrid w:val="0"/>
        <w:spacing w:line="360" w:lineRule="auto"/>
        <w:ind w:firstLine="643"/>
        <w:jc w:val="left"/>
        <w:rPr>
          <w:rFonts w:ascii="仿宋_GB2312" w:cs="仿宋_GB2312"/>
          <w:szCs w:val="32"/>
          <w:highlight w:val="none"/>
          <w:u w:val="none"/>
          <w:shd w:val="clear" w:color="auto" w:fill="D9D9D9"/>
        </w:rPr>
      </w:pPr>
      <w:r>
        <w:rPr>
          <w:rFonts w:hint="eastAsia" w:ascii="仿宋_GB2312" w:cs="宋体"/>
          <w:b/>
          <w:kern w:val="0"/>
          <w:szCs w:val="32"/>
          <w:highlight w:val="none"/>
          <w:u w:val="none"/>
          <w:shd w:val="clear" w:color="auto" w:fill="FFFFFF"/>
        </w:rPr>
        <w:t>第十</w:t>
      </w:r>
      <w:r>
        <w:rPr>
          <w:rFonts w:hint="eastAsia" w:ascii="仿宋_GB2312" w:cs="宋体"/>
          <w:b/>
          <w:kern w:val="0"/>
          <w:szCs w:val="32"/>
          <w:highlight w:val="none"/>
          <w:u w:val="none"/>
          <w:shd w:val="clear" w:color="auto" w:fill="FFFFFF"/>
          <w:lang w:val="en-US" w:eastAsia="zh-CN"/>
        </w:rPr>
        <w:t>二</w:t>
      </w:r>
      <w:r>
        <w:rPr>
          <w:rFonts w:hint="eastAsia" w:ascii="仿宋_GB2312" w:cs="宋体"/>
          <w:b/>
          <w:kern w:val="0"/>
          <w:szCs w:val="32"/>
          <w:highlight w:val="none"/>
          <w:u w:val="none"/>
          <w:shd w:val="clear" w:color="auto" w:fill="FFFFFF"/>
        </w:rPr>
        <w:t>条</w:t>
      </w:r>
      <w:r>
        <w:rPr>
          <w:rFonts w:cs="宋体"/>
          <w:kern w:val="0"/>
          <w:szCs w:val="32"/>
          <w:highlight w:val="none"/>
          <w:u w:val="none"/>
          <w:shd w:val="clear" w:color="auto" w:fill="FFFFFF"/>
        </w:rPr>
        <w:t xml:space="preserve"> </w:t>
      </w:r>
      <w:r>
        <w:rPr>
          <w:rFonts w:hint="eastAsia" w:ascii="仿宋_GB2312" w:cs="仿宋_GB2312"/>
          <w:szCs w:val="32"/>
          <w:highlight w:val="none"/>
          <w:u w:val="none"/>
          <w:shd w:val="clear" w:color="auto" w:fill="FFFFFF"/>
        </w:rPr>
        <w:t>支持行业协会、专业机构和企业承办南山区政府或区产业主管部门组织举办的具有较大影响力的文化</w:t>
      </w:r>
      <w:r>
        <w:rPr>
          <w:rFonts w:hint="eastAsia" w:cs="宋体"/>
          <w:kern w:val="0"/>
          <w:szCs w:val="32"/>
          <w:highlight w:val="none"/>
          <w:u w:val="none"/>
        </w:rPr>
        <w:t>（体育）</w:t>
      </w:r>
      <w:r>
        <w:rPr>
          <w:rFonts w:hint="eastAsia" w:ascii="仿宋_GB2312" w:cs="仿宋_GB2312"/>
          <w:szCs w:val="32"/>
          <w:highlight w:val="none"/>
          <w:u w:val="none"/>
          <w:shd w:val="clear" w:color="auto" w:fill="FFFFFF"/>
        </w:rPr>
        <w:t>产业专业展会及其他专业交流活动</w:t>
      </w:r>
      <w:r>
        <w:rPr>
          <w:rFonts w:hint="eastAsia" w:cs="宋体"/>
          <w:kern w:val="0"/>
          <w:szCs w:val="32"/>
          <w:highlight w:val="none"/>
          <w:u w:val="none"/>
        </w:rPr>
        <w:t>、文化（体育）赛事等，</w:t>
      </w:r>
      <w:r>
        <w:rPr>
          <w:rFonts w:hint="eastAsia" w:ascii="仿宋_GB2312" w:cs="仿宋_GB2312"/>
          <w:szCs w:val="32"/>
          <w:highlight w:val="none"/>
          <w:u w:val="none"/>
          <w:shd w:val="clear" w:color="auto" w:fill="FFFFFF"/>
        </w:rPr>
        <w:t>对符合南山产业发展方向，具备一定规模和影响力，有助于推动南山文化</w:t>
      </w:r>
      <w:r>
        <w:rPr>
          <w:rFonts w:hint="eastAsia" w:cs="宋体"/>
          <w:kern w:val="0"/>
          <w:szCs w:val="32"/>
          <w:highlight w:val="none"/>
          <w:u w:val="none"/>
        </w:rPr>
        <w:t>（体育）</w:t>
      </w:r>
      <w:r>
        <w:rPr>
          <w:rFonts w:hint="eastAsia" w:ascii="仿宋_GB2312" w:cs="仿宋_GB2312"/>
          <w:szCs w:val="32"/>
          <w:highlight w:val="none"/>
          <w:u w:val="none"/>
          <w:shd w:val="clear" w:color="auto" w:fill="FFFFFF"/>
        </w:rPr>
        <w:t>产业发展的展会、活动或赛事，每个按不超过实际发生费用50%的比例给予资助，</w:t>
      </w:r>
      <w:r>
        <w:rPr>
          <w:rFonts w:hint="eastAsia" w:ascii="仿宋_GB2312" w:cs="仿宋_GB2312"/>
          <w:szCs w:val="32"/>
          <w:highlight w:val="none"/>
          <w:u w:val="none"/>
          <w:shd w:val="clear" w:color="auto" w:fill="auto"/>
        </w:rPr>
        <w:t>其中：</w:t>
      </w:r>
    </w:p>
    <w:p>
      <w:pPr>
        <w:widowControl/>
        <w:ind w:firstLine="640"/>
        <w:jc w:val="left"/>
        <w:rPr>
          <w:szCs w:val="32"/>
          <w:highlight w:val="none"/>
          <w:u w:val="none"/>
        </w:rPr>
      </w:pPr>
      <w:r>
        <w:rPr>
          <w:rFonts w:hint="eastAsia" w:ascii="仿宋_GB2312" w:cs="宋体"/>
          <w:kern w:val="0"/>
          <w:szCs w:val="32"/>
          <w:highlight w:val="none"/>
          <w:u w:val="none"/>
        </w:rPr>
        <w:t>承办</w:t>
      </w:r>
      <w:r>
        <w:rPr>
          <w:rFonts w:hint="eastAsia" w:cs="宋体"/>
          <w:kern w:val="0"/>
          <w:szCs w:val="32"/>
          <w:highlight w:val="none"/>
          <w:u w:val="none"/>
        </w:rPr>
        <w:t>区政府主办（或支持）</w:t>
      </w:r>
      <w:r>
        <w:rPr>
          <w:rFonts w:hint="eastAsia" w:ascii="仿宋_GB2312" w:cs="宋体"/>
          <w:kern w:val="0"/>
          <w:szCs w:val="32"/>
          <w:highlight w:val="none"/>
          <w:u w:val="none"/>
        </w:rPr>
        <w:t>的专业展会、活动及赛事，资助金额最高不超过</w:t>
      </w:r>
      <w:r>
        <w:rPr>
          <w:rFonts w:cs="宋体"/>
          <w:kern w:val="0"/>
          <w:szCs w:val="32"/>
          <w:highlight w:val="none"/>
          <w:u w:val="none"/>
        </w:rPr>
        <w:t>100</w:t>
      </w:r>
      <w:r>
        <w:rPr>
          <w:rFonts w:hint="eastAsia" w:ascii="仿宋_GB2312" w:cs="宋体"/>
          <w:kern w:val="0"/>
          <w:szCs w:val="32"/>
          <w:highlight w:val="none"/>
          <w:u w:val="none"/>
        </w:rPr>
        <w:t>万元；</w:t>
      </w:r>
      <w:r>
        <w:rPr>
          <w:rFonts w:hint="eastAsia" w:cs="宋体"/>
          <w:kern w:val="0"/>
          <w:szCs w:val="32"/>
          <w:highlight w:val="none"/>
          <w:u w:val="none"/>
        </w:rPr>
        <w:t>承办区文化广电旅游体育局主办（或支持）的专业展会、活动及赛事</w:t>
      </w:r>
      <w:r>
        <w:rPr>
          <w:rFonts w:hint="eastAsia" w:ascii="仿宋_GB2312" w:cs="宋体"/>
          <w:kern w:val="0"/>
          <w:szCs w:val="32"/>
          <w:highlight w:val="none"/>
          <w:u w:val="none"/>
        </w:rPr>
        <w:t>，资助金额最高不超过</w:t>
      </w:r>
      <w:r>
        <w:rPr>
          <w:rFonts w:cs="宋体"/>
          <w:kern w:val="0"/>
          <w:szCs w:val="32"/>
          <w:highlight w:val="none"/>
          <w:u w:val="none"/>
        </w:rPr>
        <w:t>50</w:t>
      </w:r>
      <w:r>
        <w:rPr>
          <w:rFonts w:hint="eastAsia" w:ascii="仿宋_GB2312" w:cs="宋体"/>
          <w:kern w:val="0"/>
          <w:szCs w:val="32"/>
          <w:highlight w:val="none"/>
          <w:u w:val="none"/>
        </w:rPr>
        <w:t>万元。同级财政对同个项目不重复资助。</w:t>
      </w:r>
    </w:p>
    <w:p>
      <w:pPr>
        <w:widowControl/>
        <w:shd w:val="clear" w:color="auto" w:fill="FFFFFF"/>
        <w:snapToGrid w:val="0"/>
        <w:spacing w:line="360" w:lineRule="auto"/>
        <w:ind w:firstLine="643"/>
        <w:jc w:val="left"/>
        <w:rPr>
          <w:rFonts w:cs="宋体"/>
          <w:kern w:val="0"/>
          <w:szCs w:val="32"/>
          <w:highlight w:val="none"/>
          <w:u w:val="none"/>
        </w:rPr>
      </w:pPr>
      <w:r>
        <w:rPr>
          <w:rFonts w:hint="eastAsia" w:cs="宋体"/>
          <w:b/>
          <w:kern w:val="0"/>
          <w:szCs w:val="32"/>
          <w:highlight w:val="none"/>
          <w:u w:val="none"/>
        </w:rPr>
        <w:t>第十</w:t>
      </w:r>
      <w:r>
        <w:rPr>
          <w:rFonts w:hint="eastAsia" w:cs="宋体"/>
          <w:b/>
          <w:kern w:val="0"/>
          <w:szCs w:val="32"/>
          <w:highlight w:val="none"/>
          <w:u w:val="none"/>
          <w:lang w:val="en-US" w:eastAsia="zh-CN"/>
        </w:rPr>
        <w:t>三</w:t>
      </w:r>
      <w:r>
        <w:rPr>
          <w:rFonts w:hint="eastAsia" w:cs="宋体"/>
          <w:b/>
          <w:kern w:val="0"/>
          <w:szCs w:val="32"/>
          <w:highlight w:val="none"/>
          <w:u w:val="none"/>
        </w:rPr>
        <w:t>条</w:t>
      </w:r>
      <w:r>
        <w:rPr>
          <w:rFonts w:hint="eastAsia" w:cs="宋体"/>
          <w:kern w:val="0"/>
          <w:szCs w:val="32"/>
          <w:highlight w:val="none"/>
          <w:u w:val="none"/>
        </w:rPr>
        <w:t xml:space="preserve"> 对区政府组织企业参加深圳“文博会”的相关费用，包括组织宣传费用、场地租金、南山展区布展费等，按实际发生额度给予相应补贴；</w:t>
      </w:r>
    </w:p>
    <w:p>
      <w:pPr>
        <w:widowControl/>
        <w:shd w:val="clear" w:color="auto" w:fill="FFFFFF"/>
        <w:snapToGrid w:val="0"/>
        <w:spacing w:line="360" w:lineRule="auto"/>
        <w:ind w:firstLine="640"/>
        <w:jc w:val="left"/>
        <w:rPr>
          <w:rFonts w:cs="宋体"/>
          <w:kern w:val="0"/>
          <w:szCs w:val="32"/>
          <w:highlight w:val="none"/>
          <w:u w:val="none"/>
        </w:rPr>
      </w:pPr>
      <w:r>
        <w:rPr>
          <w:rFonts w:hint="eastAsia" w:cs="宋体"/>
          <w:kern w:val="0"/>
          <w:szCs w:val="32"/>
          <w:highlight w:val="none"/>
          <w:u w:val="none"/>
        </w:rPr>
        <w:t>对承办我区“文博会”分会场的单位，按实际发生费用的5</w:t>
      </w:r>
      <w:r>
        <w:rPr>
          <w:rFonts w:cs="宋体"/>
          <w:kern w:val="0"/>
          <w:szCs w:val="32"/>
          <w:highlight w:val="none"/>
          <w:u w:val="none"/>
        </w:rPr>
        <w:t>0</w:t>
      </w:r>
      <w:r>
        <w:rPr>
          <w:rFonts w:hint="eastAsia" w:cs="宋体"/>
          <w:kern w:val="0"/>
          <w:szCs w:val="32"/>
          <w:highlight w:val="none"/>
          <w:u w:val="none"/>
        </w:rPr>
        <w:t>%，给予最高不超过3</w:t>
      </w:r>
      <w:r>
        <w:rPr>
          <w:rFonts w:cs="宋体"/>
          <w:kern w:val="0"/>
          <w:szCs w:val="32"/>
          <w:highlight w:val="none"/>
          <w:u w:val="none"/>
        </w:rPr>
        <w:t>0</w:t>
      </w:r>
      <w:r>
        <w:rPr>
          <w:rFonts w:hint="eastAsia" w:cs="宋体"/>
          <w:kern w:val="0"/>
          <w:szCs w:val="32"/>
          <w:highlight w:val="none"/>
          <w:u w:val="none"/>
        </w:rPr>
        <w:t>万元的补贴；对承办我区“文博会”配套文化活动的单位，按照活动实际发生费用的5</w:t>
      </w:r>
      <w:r>
        <w:rPr>
          <w:rFonts w:cs="宋体"/>
          <w:kern w:val="0"/>
          <w:szCs w:val="32"/>
          <w:highlight w:val="none"/>
          <w:u w:val="none"/>
        </w:rPr>
        <w:t>0</w:t>
      </w:r>
      <w:r>
        <w:rPr>
          <w:rFonts w:hint="eastAsia" w:cs="宋体"/>
          <w:kern w:val="0"/>
          <w:szCs w:val="32"/>
          <w:highlight w:val="none"/>
          <w:u w:val="none"/>
        </w:rPr>
        <w:t>%，给予最高不超过2</w:t>
      </w:r>
      <w:r>
        <w:rPr>
          <w:rFonts w:cs="宋体"/>
          <w:kern w:val="0"/>
          <w:szCs w:val="32"/>
          <w:highlight w:val="none"/>
          <w:u w:val="none"/>
        </w:rPr>
        <w:t>0</w:t>
      </w:r>
      <w:r>
        <w:rPr>
          <w:rFonts w:hint="eastAsia" w:cs="宋体"/>
          <w:kern w:val="0"/>
          <w:szCs w:val="32"/>
          <w:highlight w:val="none"/>
          <w:u w:val="none"/>
        </w:rPr>
        <w:t>万元的补贴；获评为市优秀分会场的单位，按照深圳市奖励金额的5</w:t>
      </w:r>
      <w:r>
        <w:rPr>
          <w:rFonts w:cs="宋体"/>
          <w:kern w:val="0"/>
          <w:szCs w:val="32"/>
          <w:highlight w:val="none"/>
          <w:u w:val="none"/>
        </w:rPr>
        <w:t>0</w:t>
      </w:r>
      <w:r>
        <w:rPr>
          <w:rFonts w:hint="eastAsia" w:cs="宋体"/>
          <w:kern w:val="0"/>
          <w:szCs w:val="32"/>
          <w:highlight w:val="none"/>
          <w:u w:val="none"/>
        </w:rPr>
        <w:t>%予以配套奖励。</w:t>
      </w:r>
    </w:p>
    <w:p>
      <w:pPr>
        <w:pStyle w:val="11"/>
        <w:spacing w:line="360" w:lineRule="auto"/>
        <w:rPr>
          <w:sz w:val="32"/>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第五章</w:t>
      </w:r>
      <w:r>
        <w:rPr>
          <w:rFonts w:ascii="黑体" w:hAnsi="黑体" w:eastAsia="黑体" w:cs="宋体"/>
          <w:kern w:val="0"/>
          <w:szCs w:val="32"/>
          <w:highlight w:val="none"/>
          <w:u w:val="none"/>
        </w:rPr>
        <w:t xml:space="preserve"> </w:t>
      </w:r>
      <w:r>
        <w:rPr>
          <w:rFonts w:hint="eastAsia" w:ascii="黑体" w:hAnsi="黑体" w:eastAsia="黑体" w:cs="宋体"/>
          <w:kern w:val="0"/>
          <w:szCs w:val="32"/>
          <w:highlight w:val="none"/>
          <w:u w:val="none"/>
        </w:rPr>
        <w:t>鼓励文化精品原创及IP运营</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第十</w:t>
      </w:r>
      <w:r>
        <w:rPr>
          <w:rFonts w:hint="eastAsia" w:cs="宋体"/>
          <w:b/>
          <w:kern w:val="0"/>
          <w:szCs w:val="32"/>
          <w:highlight w:val="none"/>
          <w:u w:val="none"/>
          <w:lang w:val="en-US" w:eastAsia="zh-CN"/>
        </w:rPr>
        <w:t>四</w:t>
      </w:r>
      <w:r>
        <w:rPr>
          <w:rFonts w:hint="eastAsia" w:cs="宋体"/>
          <w:b/>
          <w:kern w:val="0"/>
          <w:szCs w:val="32"/>
          <w:highlight w:val="none"/>
          <w:u w:val="none"/>
        </w:rPr>
        <w:t>条</w:t>
      </w:r>
      <w:r>
        <w:rPr>
          <w:rFonts w:hint="eastAsia" w:cs="宋体"/>
          <w:kern w:val="0"/>
          <w:szCs w:val="32"/>
          <w:highlight w:val="none"/>
          <w:u w:val="none"/>
        </w:rPr>
        <w:t xml:space="preserve"> 我区企事业单位原创文化产品（动漫、电影、电视剧、舞台剧、出版作品、网络剧、微电影等）在国家级、省级出版发行单位和院线、电视台、剧场、网络播放平台等出版发行或播出、演出的，按其出版发行或播出、演出首年度内实际收入1</w:t>
      </w:r>
      <w:r>
        <w:rPr>
          <w:rFonts w:cs="宋体"/>
          <w:kern w:val="0"/>
          <w:szCs w:val="32"/>
          <w:highlight w:val="none"/>
          <w:u w:val="none"/>
        </w:rPr>
        <w:t>5</w:t>
      </w:r>
      <w:r>
        <w:rPr>
          <w:rFonts w:hint="eastAsia" w:cs="宋体"/>
          <w:kern w:val="0"/>
          <w:szCs w:val="32"/>
          <w:highlight w:val="none"/>
          <w:u w:val="none"/>
        </w:rPr>
        <w:t>%的比例给予原创作品开发单位奖励，每家单位每年奖励总额最高不超过1</w:t>
      </w:r>
      <w:r>
        <w:rPr>
          <w:rFonts w:cs="宋体"/>
          <w:kern w:val="0"/>
          <w:szCs w:val="32"/>
          <w:highlight w:val="none"/>
          <w:u w:val="none"/>
        </w:rPr>
        <w:t>00</w:t>
      </w:r>
      <w:r>
        <w:rPr>
          <w:rFonts w:hint="eastAsia" w:cs="宋体"/>
          <w:kern w:val="0"/>
          <w:szCs w:val="32"/>
          <w:highlight w:val="none"/>
          <w:u w:val="none"/>
        </w:rPr>
        <w:t>万元。</w:t>
      </w:r>
    </w:p>
    <w:p>
      <w:pPr>
        <w:widowControl/>
        <w:shd w:val="clear" w:color="auto" w:fill="FFFFFF"/>
        <w:spacing w:line="360" w:lineRule="auto"/>
        <w:ind w:firstLine="640"/>
        <w:jc w:val="left"/>
        <w:rPr>
          <w:rFonts w:cs="宋体"/>
          <w:kern w:val="0"/>
          <w:szCs w:val="32"/>
          <w:highlight w:val="none"/>
          <w:u w:val="none"/>
        </w:rPr>
      </w:pPr>
      <w:r>
        <w:rPr>
          <w:rFonts w:hint="eastAsia" w:cs="宋体"/>
          <w:kern w:val="0"/>
          <w:szCs w:val="32"/>
          <w:highlight w:val="none"/>
          <w:u w:val="none"/>
        </w:rPr>
        <w:t>我区游戏开发企业原创开发的或拥有完全自主知识产权的游戏产品（不含委托加工游戏产品）进行运营的，按其运营首年度内实际收入1</w:t>
      </w:r>
      <w:r>
        <w:rPr>
          <w:rFonts w:cs="宋体"/>
          <w:kern w:val="0"/>
          <w:szCs w:val="32"/>
          <w:highlight w:val="none"/>
          <w:u w:val="none"/>
        </w:rPr>
        <w:t>0</w:t>
      </w:r>
      <w:r>
        <w:rPr>
          <w:rFonts w:hint="eastAsia" w:cs="宋体"/>
          <w:kern w:val="0"/>
          <w:szCs w:val="32"/>
          <w:highlight w:val="none"/>
          <w:u w:val="none"/>
        </w:rPr>
        <w:t>%的比例给予原创作品开发企业奖励，每家单位每年奖励总额最高不超过1</w:t>
      </w:r>
      <w:r>
        <w:rPr>
          <w:rFonts w:cs="宋体"/>
          <w:kern w:val="0"/>
          <w:szCs w:val="32"/>
          <w:highlight w:val="none"/>
          <w:u w:val="none"/>
        </w:rPr>
        <w:t>00</w:t>
      </w:r>
      <w:r>
        <w:rPr>
          <w:rFonts w:hint="eastAsia" w:cs="宋体"/>
          <w:kern w:val="0"/>
          <w:szCs w:val="32"/>
          <w:highlight w:val="none"/>
          <w:u w:val="none"/>
        </w:rPr>
        <w:t>万元。</w:t>
      </w:r>
    </w:p>
    <w:p>
      <w:pPr>
        <w:widowControl/>
        <w:shd w:val="clear" w:color="auto" w:fill="FFFFFF"/>
        <w:snapToGrid w:val="0"/>
        <w:spacing w:line="360" w:lineRule="auto"/>
        <w:ind w:firstLine="643" w:firstLineChars="200"/>
        <w:jc w:val="left"/>
        <w:rPr>
          <w:rFonts w:cs="宋体"/>
          <w:kern w:val="0"/>
          <w:szCs w:val="32"/>
          <w:highlight w:val="none"/>
          <w:u w:val="none"/>
        </w:rPr>
      </w:pPr>
      <w:r>
        <w:rPr>
          <w:rFonts w:hint="eastAsia" w:cs="宋体"/>
          <w:b/>
          <w:kern w:val="0"/>
          <w:szCs w:val="32"/>
          <w:highlight w:val="none"/>
          <w:u w:val="none"/>
        </w:rPr>
        <w:t>第十</w:t>
      </w:r>
      <w:r>
        <w:rPr>
          <w:rFonts w:hint="eastAsia" w:cs="宋体"/>
          <w:b/>
          <w:kern w:val="0"/>
          <w:szCs w:val="32"/>
          <w:highlight w:val="none"/>
          <w:u w:val="none"/>
          <w:lang w:val="en-US" w:eastAsia="zh-CN"/>
        </w:rPr>
        <w:t>五</w:t>
      </w:r>
      <w:r>
        <w:rPr>
          <w:rFonts w:hint="eastAsia" w:cs="宋体"/>
          <w:b/>
          <w:kern w:val="0"/>
          <w:szCs w:val="32"/>
          <w:highlight w:val="none"/>
          <w:u w:val="none"/>
        </w:rPr>
        <w:t>条</w:t>
      </w:r>
      <w:r>
        <w:rPr>
          <w:rFonts w:hint="eastAsia" w:cs="宋体"/>
          <w:kern w:val="0"/>
          <w:szCs w:val="32"/>
          <w:highlight w:val="none"/>
          <w:u w:val="none"/>
        </w:rPr>
        <w:t xml:space="preserve"> 鼓励企事业单位进行版权（著作权）登记。对获得版权（著作权）登记的，每项一次性给予不超过其登记费用和代理费用总额，且最高不超过2</w:t>
      </w:r>
      <w:r>
        <w:rPr>
          <w:rFonts w:cs="宋体"/>
          <w:kern w:val="0"/>
          <w:szCs w:val="32"/>
          <w:highlight w:val="none"/>
          <w:u w:val="none"/>
        </w:rPr>
        <w:t>500</w:t>
      </w:r>
      <w:r>
        <w:rPr>
          <w:rFonts w:hint="eastAsia" w:cs="宋体"/>
          <w:kern w:val="0"/>
          <w:szCs w:val="32"/>
          <w:highlight w:val="none"/>
          <w:u w:val="none"/>
        </w:rPr>
        <w:t>元奖励。每家单位每年奖励总额最高不超过1</w:t>
      </w:r>
      <w:r>
        <w:rPr>
          <w:rFonts w:cs="宋体"/>
          <w:kern w:val="0"/>
          <w:szCs w:val="32"/>
          <w:highlight w:val="none"/>
          <w:u w:val="none"/>
        </w:rPr>
        <w:t>0</w:t>
      </w:r>
      <w:r>
        <w:rPr>
          <w:rFonts w:hint="eastAsia" w:cs="宋体"/>
          <w:kern w:val="0"/>
          <w:szCs w:val="32"/>
          <w:highlight w:val="none"/>
          <w:u w:val="none"/>
        </w:rPr>
        <w:t>万元。</w:t>
      </w:r>
    </w:p>
    <w:p>
      <w:pPr>
        <w:widowControl/>
        <w:shd w:val="clear" w:color="auto" w:fill="FFFFFF"/>
        <w:spacing w:line="360" w:lineRule="auto"/>
        <w:ind w:firstLine="643" w:firstLineChars="200"/>
        <w:jc w:val="left"/>
        <w:rPr>
          <w:rFonts w:cs="宋体"/>
          <w:kern w:val="0"/>
          <w:szCs w:val="32"/>
          <w:highlight w:val="none"/>
          <w:u w:val="none"/>
        </w:rPr>
      </w:pPr>
      <w:r>
        <w:rPr>
          <w:rFonts w:hint="eastAsia" w:cs="宋体"/>
          <w:b/>
          <w:kern w:val="0"/>
          <w:szCs w:val="32"/>
          <w:highlight w:val="none"/>
          <w:u w:val="none"/>
        </w:rPr>
        <w:t>第十</w:t>
      </w:r>
      <w:r>
        <w:rPr>
          <w:rFonts w:hint="eastAsia" w:cs="宋体"/>
          <w:b/>
          <w:kern w:val="0"/>
          <w:szCs w:val="32"/>
          <w:highlight w:val="none"/>
          <w:u w:val="none"/>
          <w:lang w:val="en-US" w:eastAsia="zh-CN"/>
        </w:rPr>
        <w:t>六</w:t>
      </w:r>
      <w:r>
        <w:rPr>
          <w:rFonts w:hint="eastAsia" w:cs="宋体"/>
          <w:b/>
          <w:kern w:val="0"/>
          <w:szCs w:val="32"/>
          <w:highlight w:val="none"/>
          <w:u w:val="none"/>
        </w:rPr>
        <w:t>条</w:t>
      </w:r>
      <w:r>
        <w:rPr>
          <w:rFonts w:cs="宋体"/>
          <w:kern w:val="0"/>
          <w:szCs w:val="32"/>
          <w:highlight w:val="none"/>
          <w:u w:val="none"/>
        </w:rPr>
        <w:t xml:space="preserve"> </w:t>
      </w:r>
      <w:r>
        <w:rPr>
          <w:rFonts w:cs="宋体"/>
          <w:bCs/>
          <w:kern w:val="0"/>
          <w:szCs w:val="32"/>
          <w:highlight w:val="none"/>
          <w:u w:val="none"/>
        </w:rPr>
        <w:t>IP</w:t>
      </w:r>
      <w:r>
        <w:rPr>
          <w:rFonts w:hint="eastAsia" w:cs="宋体"/>
          <w:bCs/>
          <w:kern w:val="0"/>
          <w:szCs w:val="32"/>
          <w:highlight w:val="none"/>
          <w:u w:val="none"/>
        </w:rPr>
        <w:t>引进及运营补贴</w:t>
      </w:r>
      <w:r>
        <w:rPr>
          <w:rFonts w:hint="eastAsia" w:cs="宋体"/>
          <w:kern w:val="0"/>
          <w:szCs w:val="32"/>
          <w:highlight w:val="none"/>
          <w:u w:val="none"/>
        </w:rPr>
        <w:t>。鼓励企事业单位引进国内外知名、优质</w:t>
      </w:r>
      <w:r>
        <w:rPr>
          <w:rFonts w:cs="宋体"/>
          <w:kern w:val="0"/>
          <w:szCs w:val="32"/>
          <w:highlight w:val="none"/>
          <w:u w:val="none"/>
        </w:rPr>
        <w:t>IP</w:t>
      </w:r>
      <w:r>
        <w:rPr>
          <w:rFonts w:hint="eastAsia" w:cs="宋体"/>
          <w:kern w:val="0"/>
          <w:szCs w:val="32"/>
          <w:highlight w:val="none"/>
          <w:u w:val="none"/>
        </w:rPr>
        <w:t>资源，首年运营收入50万元以上的，（动漫、电影、电视剧、舞台剧、出版作品、网络剧、微电影、展览等）在国家级、省级出版发行单位和院线、电视台、剧场、网络播放平台、展馆等出版发行或播出、演出的，按其出版发行或播出、演出首年度内实际收入</w:t>
      </w:r>
      <w:r>
        <w:rPr>
          <w:rFonts w:cs="宋体"/>
          <w:kern w:val="0"/>
          <w:szCs w:val="32"/>
          <w:highlight w:val="none"/>
          <w:u w:val="none"/>
        </w:rPr>
        <w:t>15%</w:t>
      </w:r>
      <w:r>
        <w:rPr>
          <w:rFonts w:hint="eastAsia" w:cs="宋体"/>
          <w:kern w:val="0"/>
          <w:szCs w:val="32"/>
          <w:highlight w:val="none"/>
          <w:u w:val="none"/>
        </w:rPr>
        <w:t>的比例给予资助，每家单位每年资助总额最高不超过</w:t>
      </w:r>
      <w:r>
        <w:rPr>
          <w:rFonts w:cs="宋体"/>
          <w:kern w:val="0"/>
          <w:szCs w:val="32"/>
          <w:highlight w:val="none"/>
          <w:u w:val="none"/>
        </w:rPr>
        <w:t>100</w:t>
      </w:r>
      <w:r>
        <w:rPr>
          <w:rFonts w:hint="eastAsia" w:cs="宋体"/>
          <w:kern w:val="0"/>
          <w:szCs w:val="32"/>
          <w:highlight w:val="none"/>
          <w:u w:val="none"/>
        </w:rPr>
        <w:t>万元。</w:t>
      </w:r>
    </w:p>
    <w:p>
      <w:pPr>
        <w:widowControl/>
        <w:shd w:val="clear" w:color="auto" w:fill="FFFFFF"/>
        <w:snapToGrid w:val="0"/>
        <w:spacing w:line="360" w:lineRule="auto"/>
        <w:ind w:firstLine="960" w:firstLineChars="300"/>
        <w:jc w:val="left"/>
        <w:rPr>
          <w:rFonts w:cs="宋体"/>
          <w:kern w:val="0"/>
          <w:szCs w:val="32"/>
          <w:highlight w:val="none"/>
          <w:u w:val="none"/>
        </w:rPr>
      </w:pPr>
    </w:p>
    <w:p>
      <w:pPr>
        <w:pStyle w:val="11"/>
        <w:spacing w:line="360" w:lineRule="auto"/>
        <w:rPr>
          <w:sz w:val="32"/>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第六章 鼓励企业稳增长及开展创优评级</w:t>
      </w:r>
    </w:p>
    <w:p>
      <w:pPr>
        <w:widowControl/>
        <w:shd w:val="clear" w:color="auto" w:fill="FFFFFF"/>
        <w:spacing w:line="360" w:lineRule="auto"/>
        <w:ind w:firstLine="640"/>
        <w:jc w:val="left"/>
        <w:rPr>
          <w:rFonts w:cs="宋体"/>
          <w:bCs/>
          <w:kern w:val="0"/>
          <w:szCs w:val="32"/>
          <w:highlight w:val="none"/>
          <w:u w:val="none"/>
        </w:rPr>
      </w:pPr>
      <w:r>
        <w:rPr>
          <w:rFonts w:hint="eastAsia" w:cs="宋体"/>
          <w:b/>
          <w:bCs/>
          <w:kern w:val="0"/>
          <w:szCs w:val="32"/>
          <w:highlight w:val="none"/>
          <w:u w:val="none"/>
          <w:lang w:val="en-US" w:eastAsia="zh-CN"/>
        </w:rPr>
        <w:t>第十七条</w:t>
      </w:r>
      <w:r>
        <w:rPr>
          <w:rFonts w:hint="eastAsia" w:cs="宋体"/>
          <w:kern w:val="0"/>
          <w:szCs w:val="32"/>
          <w:highlight w:val="none"/>
          <w:u w:val="none"/>
          <w:lang w:val="en-US" w:eastAsia="zh-CN"/>
        </w:rPr>
        <w:t xml:space="preserve"> </w:t>
      </w:r>
      <w:r>
        <w:rPr>
          <w:rFonts w:hint="eastAsia" w:cs="宋体"/>
          <w:kern w:val="0"/>
          <w:szCs w:val="32"/>
          <w:highlight w:val="none"/>
          <w:u w:val="none"/>
        </w:rPr>
        <w:t>南山区内企业稳增长奖励。</w:t>
      </w:r>
      <w:r>
        <w:rPr>
          <w:rFonts w:hint="eastAsia" w:cs="宋体"/>
          <w:bCs/>
          <w:kern w:val="0"/>
          <w:szCs w:val="32"/>
          <w:highlight w:val="none"/>
          <w:u w:val="none"/>
        </w:rPr>
        <w:t>“四上”在库企业按照区统计部门确认的年度营业收入，比上年度每增长1000万元，奖励10万元，每家企业每年奖励金额最高不超过100万元。</w:t>
      </w:r>
    </w:p>
    <w:p>
      <w:pPr>
        <w:widowControl/>
        <w:shd w:val="clear" w:color="auto" w:fill="FFFFFF"/>
        <w:spacing w:line="360" w:lineRule="auto"/>
        <w:ind w:firstLine="643"/>
        <w:rPr>
          <w:rFonts w:cs="宋体"/>
          <w:kern w:val="0"/>
          <w:szCs w:val="32"/>
          <w:highlight w:val="none"/>
          <w:u w:val="none"/>
        </w:rPr>
      </w:pPr>
      <w:r>
        <w:rPr>
          <w:rFonts w:hint="eastAsia" w:cs="宋体"/>
          <w:b/>
          <w:kern w:val="0"/>
          <w:szCs w:val="32"/>
          <w:highlight w:val="none"/>
          <w:u w:val="none"/>
        </w:rPr>
        <w:t>第十八条</w:t>
      </w:r>
      <w:r>
        <w:rPr>
          <w:rFonts w:cs="宋体"/>
          <w:kern w:val="0"/>
          <w:szCs w:val="32"/>
          <w:highlight w:val="none"/>
          <w:u w:val="none"/>
        </w:rPr>
        <w:t xml:space="preserve"> </w:t>
      </w:r>
      <w:r>
        <w:rPr>
          <w:rFonts w:hint="eastAsia" w:cs="宋体"/>
          <w:kern w:val="0"/>
          <w:szCs w:val="32"/>
          <w:highlight w:val="none"/>
          <w:u w:val="none"/>
        </w:rPr>
        <w:t>国家级、省级、市级文化（体育）产业园区和基地奖励。</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对评为国家级、省级文化（体育）产业园区的，分别给予3</w:t>
      </w:r>
      <w:r>
        <w:rPr>
          <w:rFonts w:cs="宋体"/>
          <w:kern w:val="0"/>
          <w:szCs w:val="32"/>
          <w:highlight w:val="none"/>
          <w:u w:val="none"/>
        </w:rPr>
        <w:t>00</w:t>
      </w:r>
      <w:r>
        <w:rPr>
          <w:rFonts w:hint="eastAsia" w:cs="宋体"/>
          <w:kern w:val="0"/>
          <w:szCs w:val="32"/>
          <w:highlight w:val="none"/>
          <w:u w:val="none"/>
        </w:rPr>
        <w:t>万元、2</w:t>
      </w:r>
      <w:r>
        <w:rPr>
          <w:rFonts w:cs="宋体"/>
          <w:kern w:val="0"/>
          <w:szCs w:val="32"/>
          <w:highlight w:val="none"/>
          <w:u w:val="none"/>
        </w:rPr>
        <w:t>00</w:t>
      </w:r>
      <w:r>
        <w:rPr>
          <w:rFonts w:hint="eastAsia" w:cs="宋体"/>
          <w:kern w:val="0"/>
          <w:szCs w:val="32"/>
          <w:highlight w:val="none"/>
          <w:u w:val="none"/>
        </w:rPr>
        <w:t>万元的一次性奖励；对评为国家级、省级文化产业示范基地的，分别给予2</w:t>
      </w:r>
      <w:r>
        <w:rPr>
          <w:rFonts w:cs="宋体"/>
          <w:kern w:val="0"/>
          <w:szCs w:val="32"/>
          <w:highlight w:val="none"/>
          <w:u w:val="none"/>
        </w:rPr>
        <w:t>00</w:t>
      </w:r>
      <w:r>
        <w:rPr>
          <w:rFonts w:hint="eastAsia" w:cs="宋体"/>
          <w:kern w:val="0"/>
          <w:szCs w:val="32"/>
          <w:highlight w:val="none"/>
          <w:u w:val="none"/>
        </w:rPr>
        <w:t>万元、1</w:t>
      </w:r>
      <w:r>
        <w:rPr>
          <w:rFonts w:cs="宋体"/>
          <w:kern w:val="0"/>
          <w:szCs w:val="32"/>
          <w:highlight w:val="none"/>
          <w:u w:val="none"/>
        </w:rPr>
        <w:t>00</w:t>
      </w:r>
      <w:r>
        <w:rPr>
          <w:rFonts w:hint="eastAsia" w:cs="宋体"/>
          <w:kern w:val="0"/>
          <w:szCs w:val="32"/>
          <w:highlight w:val="none"/>
          <w:u w:val="none"/>
        </w:rPr>
        <w:t>万元的一次性奖励。省级园区或基地升格为国家级园区或基地的，可申请差额部分奖励。</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对新认定为市级体育产业园区和基地的，按市体育产业发展专项资金奖励金额的50%给予配套资助，最高资助金额100万元。对被评为国家级、省级体育产业基地的，分别给予50万元、20万元的一次性奖励。省级体育产业基地升格为国家级基地的，可申请差额部分奖励。</w:t>
      </w:r>
    </w:p>
    <w:p>
      <w:pPr>
        <w:widowControl/>
        <w:shd w:val="clear" w:color="auto" w:fill="FFFFFF"/>
        <w:spacing w:line="360" w:lineRule="auto"/>
        <w:ind w:firstLine="643"/>
        <w:rPr>
          <w:rFonts w:cs="宋体"/>
          <w:kern w:val="0"/>
          <w:szCs w:val="32"/>
          <w:highlight w:val="none"/>
          <w:u w:val="none"/>
        </w:rPr>
      </w:pPr>
      <w:r>
        <w:rPr>
          <w:rFonts w:hint="eastAsia" w:cs="宋体"/>
          <w:b/>
          <w:kern w:val="0"/>
          <w:szCs w:val="32"/>
          <w:highlight w:val="none"/>
          <w:u w:val="none"/>
        </w:rPr>
        <w:t>第十九条</w:t>
      </w:r>
      <w:r>
        <w:rPr>
          <w:rFonts w:cs="宋体"/>
          <w:kern w:val="0"/>
          <w:szCs w:val="32"/>
          <w:highlight w:val="none"/>
          <w:u w:val="none"/>
        </w:rPr>
        <w:t xml:space="preserve"> </w:t>
      </w:r>
      <w:r>
        <w:rPr>
          <w:rFonts w:hint="eastAsia" w:cs="宋体"/>
          <w:kern w:val="0"/>
          <w:szCs w:val="32"/>
          <w:highlight w:val="none"/>
          <w:u w:val="none"/>
        </w:rPr>
        <w:t>国家级、省级出口企业和基地奖励。</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对被评为国家级、省级文化出口企业的单位，分别给予5</w:t>
      </w:r>
      <w:r>
        <w:rPr>
          <w:rFonts w:cs="宋体"/>
          <w:kern w:val="0"/>
          <w:szCs w:val="32"/>
          <w:highlight w:val="none"/>
          <w:u w:val="none"/>
        </w:rPr>
        <w:t>0</w:t>
      </w:r>
      <w:r>
        <w:rPr>
          <w:rFonts w:hint="eastAsia" w:cs="宋体"/>
          <w:kern w:val="0"/>
          <w:szCs w:val="32"/>
          <w:highlight w:val="none"/>
          <w:u w:val="none"/>
        </w:rPr>
        <w:t>万元、2</w:t>
      </w:r>
      <w:r>
        <w:rPr>
          <w:rFonts w:cs="宋体"/>
          <w:kern w:val="0"/>
          <w:szCs w:val="32"/>
          <w:highlight w:val="none"/>
          <w:u w:val="none"/>
        </w:rPr>
        <w:t>5</w:t>
      </w:r>
      <w:r>
        <w:rPr>
          <w:rFonts w:hint="eastAsia" w:cs="宋体"/>
          <w:kern w:val="0"/>
          <w:szCs w:val="32"/>
          <w:highlight w:val="none"/>
          <w:u w:val="none"/>
        </w:rPr>
        <w:t>万元的奖励；对被评为国家级、省级文化出口基地的单位，分别给予1</w:t>
      </w:r>
      <w:r>
        <w:rPr>
          <w:rFonts w:cs="宋体"/>
          <w:kern w:val="0"/>
          <w:szCs w:val="32"/>
          <w:highlight w:val="none"/>
          <w:u w:val="none"/>
        </w:rPr>
        <w:t>00</w:t>
      </w:r>
      <w:r>
        <w:rPr>
          <w:rFonts w:hint="eastAsia" w:cs="宋体"/>
          <w:kern w:val="0"/>
          <w:szCs w:val="32"/>
          <w:highlight w:val="none"/>
          <w:u w:val="none"/>
        </w:rPr>
        <w:t>万元、5</w:t>
      </w:r>
      <w:r>
        <w:rPr>
          <w:rFonts w:cs="宋体"/>
          <w:kern w:val="0"/>
          <w:szCs w:val="32"/>
          <w:highlight w:val="none"/>
          <w:u w:val="none"/>
        </w:rPr>
        <w:t>0</w:t>
      </w:r>
      <w:r>
        <w:rPr>
          <w:rFonts w:hint="eastAsia" w:cs="宋体"/>
          <w:kern w:val="0"/>
          <w:szCs w:val="32"/>
          <w:highlight w:val="none"/>
          <w:u w:val="none"/>
        </w:rPr>
        <w:t>万元的奖励。该奖励企业每两年可申请一次。省级文化出口企业或基地升格为国家级出口企业或基地的，可申请差额部分奖励。</w:t>
      </w:r>
    </w:p>
    <w:p>
      <w:pPr>
        <w:widowControl/>
        <w:shd w:val="clear" w:color="auto" w:fill="FFFFFF"/>
        <w:spacing w:line="360" w:lineRule="auto"/>
        <w:ind w:firstLine="643"/>
        <w:rPr>
          <w:rFonts w:cs="宋体"/>
          <w:kern w:val="0"/>
          <w:szCs w:val="32"/>
          <w:highlight w:val="none"/>
          <w:u w:val="none"/>
        </w:rPr>
      </w:pPr>
      <w:r>
        <w:rPr>
          <w:rFonts w:hint="eastAsia" w:cs="宋体"/>
          <w:b/>
          <w:kern w:val="0"/>
          <w:szCs w:val="32"/>
          <w:highlight w:val="none"/>
          <w:u w:val="none"/>
        </w:rPr>
        <w:t>第二十条</w:t>
      </w:r>
      <w:r>
        <w:rPr>
          <w:rFonts w:cs="宋体"/>
          <w:kern w:val="0"/>
          <w:szCs w:val="32"/>
          <w:highlight w:val="none"/>
          <w:u w:val="none"/>
        </w:rPr>
        <w:t xml:space="preserve"> </w:t>
      </w:r>
      <w:r>
        <w:rPr>
          <w:rFonts w:hint="eastAsia" w:cs="宋体"/>
          <w:kern w:val="0"/>
          <w:szCs w:val="21"/>
          <w:highlight w:val="none"/>
          <w:u w:val="none"/>
        </w:rPr>
        <w:t>其他国家级、省市级文化（体育）奖项评级奖励。</w:t>
      </w:r>
    </w:p>
    <w:p>
      <w:pPr>
        <w:widowControl/>
        <w:shd w:val="clear" w:color="auto" w:fill="FFFFFF"/>
        <w:spacing w:line="360" w:lineRule="auto"/>
        <w:ind w:firstLine="640"/>
        <w:jc w:val="left"/>
        <w:rPr>
          <w:rFonts w:cs="宋体"/>
          <w:bCs/>
          <w:kern w:val="0"/>
          <w:szCs w:val="32"/>
          <w:highlight w:val="none"/>
          <w:u w:val="none"/>
        </w:rPr>
      </w:pPr>
      <w:r>
        <w:rPr>
          <w:rFonts w:hint="eastAsia" w:cs="宋体"/>
          <w:kern w:val="0"/>
          <w:szCs w:val="32"/>
          <w:highlight w:val="none"/>
          <w:u w:val="none"/>
        </w:rPr>
        <w:t>对获得国家级“五个一工程”奖、文化和旅游部中国文化艺术政府奖的单位一次性奖励</w:t>
      </w:r>
      <w:r>
        <w:rPr>
          <w:rFonts w:cs="宋体"/>
          <w:kern w:val="0"/>
          <w:szCs w:val="32"/>
          <w:highlight w:val="none"/>
          <w:u w:val="none"/>
        </w:rPr>
        <w:t>100</w:t>
      </w:r>
      <w:r>
        <w:rPr>
          <w:rFonts w:hint="eastAsia" w:cs="宋体"/>
          <w:kern w:val="0"/>
          <w:szCs w:val="32"/>
          <w:highlight w:val="none"/>
          <w:u w:val="none"/>
        </w:rPr>
        <w:t>万元；对获得国家文化企业</w:t>
      </w:r>
      <w:r>
        <w:rPr>
          <w:rFonts w:cs="宋体"/>
          <w:kern w:val="0"/>
          <w:szCs w:val="32"/>
          <w:highlight w:val="none"/>
          <w:u w:val="none"/>
        </w:rPr>
        <w:t>30</w:t>
      </w:r>
      <w:r>
        <w:rPr>
          <w:rFonts w:hint="eastAsia" w:cs="宋体"/>
          <w:kern w:val="0"/>
          <w:szCs w:val="32"/>
          <w:highlight w:val="none"/>
          <w:u w:val="none"/>
        </w:rPr>
        <w:t>强的单位一次性奖励</w:t>
      </w:r>
      <w:r>
        <w:rPr>
          <w:rFonts w:cs="宋体"/>
          <w:kern w:val="0"/>
          <w:szCs w:val="32"/>
          <w:highlight w:val="none"/>
          <w:u w:val="none"/>
        </w:rPr>
        <w:t>50</w:t>
      </w:r>
      <w:r>
        <w:rPr>
          <w:rFonts w:hint="eastAsia" w:cs="宋体"/>
          <w:kern w:val="0"/>
          <w:szCs w:val="32"/>
          <w:highlight w:val="none"/>
          <w:u w:val="none"/>
        </w:rPr>
        <w:t>万元；对获得“中国电影华表奖”、“中国电视星光奖”、“中国出版政府奖”主要奖项，入选“中国原创游戏精品出版工程”的单位一次性奖励</w:t>
      </w:r>
      <w:r>
        <w:rPr>
          <w:rFonts w:cs="宋体"/>
          <w:kern w:val="0"/>
          <w:szCs w:val="32"/>
          <w:highlight w:val="none"/>
          <w:u w:val="none"/>
        </w:rPr>
        <w:t>30</w:t>
      </w:r>
      <w:r>
        <w:rPr>
          <w:rFonts w:hint="eastAsia" w:cs="宋体"/>
          <w:kern w:val="0"/>
          <w:szCs w:val="32"/>
          <w:highlight w:val="none"/>
          <w:u w:val="none"/>
        </w:rPr>
        <w:t>万元；对获得深圳市文化出口企业</w:t>
      </w:r>
      <w:r>
        <w:rPr>
          <w:rFonts w:cs="宋体"/>
          <w:kern w:val="0"/>
          <w:szCs w:val="32"/>
          <w:highlight w:val="none"/>
          <w:u w:val="none"/>
        </w:rPr>
        <w:t>10</w:t>
      </w:r>
      <w:r>
        <w:rPr>
          <w:rFonts w:hint="eastAsia" w:cs="宋体"/>
          <w:kern w:val="0"/>
          <w:szCs w:val="32"/>
          <w:highlight w:val="none"/>
          <w:u w:val="none"/>
        </w:rPr>
        <w:t>强、深圳市优秀新兴业态文化创意企业认定的单位一次性奖励</w:t>
      </w:r>
      <w:r>
        <w:rPr>
          <w:rFonts w:cs="宋体"/>
          <w:kern w:val="0"/>
          <w:szCs w:val="32"/>
          <w:highlight w:val="none"/>
          <w:u w:val="none"/>
        </w:rPr>
        <w:t>25</w:t>
      </w:r>
      <w:r>
        <w:rPr>
          <w:rFonts w:hint="eastAsia" w:cs="宋体"/>
          <w:kern w:val="0"/>
          <w:szCs w:val="32"/>
          <w:highlight w:val="none"/>
          <w:u w:val="none"/>
        </w:rPr>
        <w:t>万元。对获得国家体育总局、文化和旅游部新认定为国家级体育旅游示范基地、国家级体育旅游精品赛事、国家级体育旅游精品线路的项目分别给予一次性奖励15万元。</w:t>
      </w:r>
    </w:p>
    <w:p>
      <w:pPr>
        <w:widowControl/>
        <w:shd w:val="clear" w:color="auto" w:fill="FFFFFF"/>
        <w:spacing w:line="525" w:lineRule="atLeast"/>
        <w:ind w:firstLine="643"/>
        <w:rPr>
          <w:rFonts w:hint="eastAsia" w:eastAsia="仿宋_GB2312" w:cs="宋体"/>
          <w:kern w:val="0"/>
          <w:szCs w:val="21"/>
          <w:highlight w:val="none"/>
          <w:u w:val="none"/>
          <w:lang w:eastAsia="zh-CN"/>
        </w:rPr>
      </w:pPr>
      <w:r>
        <w:rPr>
          <w:rFonts w:hint="eastAsia" w:cs="宋体"/>
          <w:b/>
          <w:bCs/>
          <w:kern w:val="0"/>
          <w:szCs w:val="21"/>
          <w:highlight w:val="none"/>
          <w:u w:val="none"/>
        </w:rPr>
        <w:t xml:space="preserve">第二十一条 </w:t>
      </w:r>
      <w:r>
        <w:rPr>
          <w:rFonts w:hint="eastAsia" w:cs="宋体"/>
          <w:kern w:val="0"/>
          <w:szCs w:val="21"/>
          <w:highlight w:val="none"/>
          <w:u w:val="none"/>
        </w:rPr>
        <w:t>旅游行业奖励</w:t>
      </w:r>
      <w:r>
        <w:rPr>
          <w:rFonts w:hint="eastAsia" w:cs="宋体"/>
          <w:kern w:val="0"/>
          <w:szCs w:val="21"/>
          <w:highlight w:val="none"/>
          <w:u w:val="none"/>
          <w:lang w:eastAsia="zh-CN"/>
        </w:rPr>
        <w:t>。</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（一）对获评为国家５Ａ、４Ａ、３Ａ级旅游景区的单位，分别给予100万元、50万元、30万元的一次性奖励。</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（二）对获得五星、四星级旅游饭店评定的单位，分别给予100万元、60万元的一次性奖励。</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（三）对获评为市级以上“平安景区”、“绿色景区”、“绿色饭店/酒店（仅限旅游星级酒店）”的单位，给予20万元的一次性奖励。</w:t>
      </w:r>
    </w:p>
    <w:p>
      <w:pPr>
        <w:widowControl/>
        <w:shd w:val="clear" w:color="auto" w:fill="FFFFFF"/>
        <w:spacing w:line="360" w:lineRule="auto"/>
        <w:ind w:firstLine="640"/>
        <w:rPr>
          <w:rFonts w:cs="宋体"/>
          <w:kern w:val="0"/>
          <w:szCs w:val="32"/>
          <w:highlight w:val="none"/>
          <w:u w:val="none"/>
        </w:rPr>
      </w:pPr>
      <w:r>
        <w:rPr>
          <w:rFonts w:hint="eastAsia" w:cs="宋体"/>
          <w:kern w:val="0"/>
          <w:szCs w:val="32"/>
          <w:highlight w:val="none"/>
          <w:u w:val="none"/>
        </w:rPr>
        <w:t>（四）对获评为国家“百强旅行社”、省“百强旅行社”、市“旅行社二十强”的单位分别给予50万元、30万元、20万元的一次性奖励。</w:t>
      </w:r>
    </w:p>
    <w:p>
      <w:pPr>
        <w:pStyle w:val="11"/>
        <w:spacing w:line="360" w:lineRule="auto"/>
        <w:rPr>
          <w:sz w:val="32"/>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第七章 促进文化科技金融融合</w:t>
      </w:r>
    </w:p>
    <w:p>
      <w:pPr>
        <w:widowControl/>
        <w:shd w:val="clear" w:color="auto" w:fill="FFFFFF"/>
        <w:spacing w:line="360" w:lineRule="auto"/>
        <w:ind w:firstLine="643"/>
        <w:rPr>
          <w:rFonts w:cs="宋体"/>
          <w:kern w:val="0"/>
          <w:szCs w:val="32"/>
          <w:highlight w:val="none"/>
          <w:u w:val="none"/>
        </w:rPr>
      </w:pPr>
      <w:r>
        <w:rPr>
          <w:rFonts w:hint="eastAsia" w:cs="宋体"/>
          <w:b/>
          <w:kern w:val="0"/>
          <w:szCs w:val="32"/>
          <w:highlight w:val="none"/>
          <w:u w:val="none"/>
        </w:rPr>
        <w:t>第二十二条</w:t>
      </w:r>
      <w:r>
        <w:rPr>
          <w:rFonts w:hint="eastAsia" w:cs="宋体"/>
          <w:kern w:val="0"/>
          <w:szCs w:val="32"/>
          <w:highlight w:val="none"/>
          <w:u w:val="none"/>
        </w:rPr>
        <w:t xml:space="preserve"> 鼓励企业加大自主研发投入。对上年度营业收入500万元（含）以上、研发费用投入50万元（含）以上的文化企业，按研发费用的3</w:t>
      </w:r>
      <w:r>
        <w:rPr>
          <w:rFonts w:cs="宋体"/>
          <w:kern w:val="0"/>
          <w:szCs w:val="32"/>
          <w:highlight w:val="none"/>
          <w:u w:val="none"/>
        </w:rPr>
        <w:t>%</w:t>
      </w:r>
      <w:r>
        <w:rPr>
          <w:rFonts w:hint="eastAsia" w:cs="宋体"/>
          <w:kern w:val="0"/>
          <w:szCs w:val="32"/>
          <w:highlight w:val="none"/>
          <w:u w:val="none"/>
        </w:rPr>
        <w:t>予以扶持，每家企业每年扶持金额最高不超过50万元。</w:t>
      </w:r>
    </w:p>
    <w:p>
      <w:pPr>
        <w:widowControl/>
        <w:shd w:val="clear" w:color="auto" w:fill="FFFFFF"/>
        <w:spacing w:line="360" w:lineRule="auto"/>
        <w:ind w:firstLine="643"/>
        <w:rPr>
          <w:rFonts w:cs="宋体"/>
          <w:kern w:val="0"/>
          <w:szCs w:val="32"/>
          <w:highlight w:val="none"/>
          <w:u w:val="none"/>
        </w:rPr>
      </w:pPr>
      <w:r>
        <w:rPr>
          <w:rFonts w:hint="eastAsia" w:cs="宋体"/>
          <w:b/>
          <w:kern w:val="0"/>
          <w:szCs w:val="32"/>
          <w:highlight w:val="none"/>
          <w:u w:val="none"/>
        </w:rPr>
        <w:t xml:space="preserve">第二十三条 </w:t>
      </w:r>
      <w:r>
        <w:rPr>
          <w:rFonts w:hint="eastAsia" w:cs="宋体"/>
          <w:kern w:val="0"/>
          <w:szCs w:val="32"/>
          <w:highlight w:val="none"/>
          <w:u w:val="none"/>
        </w:rPr>
        <w:t>支持文化和科技融合领域核心关键技术研发。对文化企事业单位建设实验室、研究平台等研究机构，符合以下条件之一的，按机构软硬件建设投入3</w:t>
      </w:r>
      <w:r>
        <w:rPr>
          <w:rFonts w:cs="宋体"/>
          <w:kern w:val="0"/>
          <w:szCs w:val="32"/>
          <w:highlight w:val="none"/>
          <w:u w:val="none"/>
        </w:rPr>
        <w:t>0</w:t>
      </w:r>
      <w:r>
        <w:rPr>
          <w:rFonts w:hint="eastAsia" w:cs="宋体"/>
          <w:kern w:val="0"/>
          <w:szCs w:val="32"/>
          <w:highlight w:val="none"/>
          <w:u w:val="none"/>
        </w:rPr>
        <w:t>%一次性给予最高2</w:t>
      </w:r>
      <w:r>
        <w:rPr>
          <w:rFonts w:cs="宋体"/>
          <w:kern w:val="0"/>
          <w:szCs w:val="32"/>
          <w:highlight w:val="none"/>
          <w:u w:val="none"/>
        </w:rPr>
        <w:t>00</w:t>
      </w:r>
      <w:r>
        <w:rPr>
          <w:rFonts w:hint="eastAsia" w:cs="宋体"/>
          <w:kern w:val="0"/>
          <w:szCs w:val="32"/>
          <w:highlight w:val="none"/>
          <w:u w:val="none"/>
        </w:rPr>
        <w:t>万元支持：</w:t>
      </w:r>
    </w:p>
    <w:p>
      <w:pPr>
        <w:widowControl/>
        <w:numPr>
          <w:ilvl w:val="255"/>
          <w:numId w:val="0"/>
        </w:numPr>
        <w:shd w:val="clear" w:color="auto" w:fill="FFFFFF"/>
        <w:spacing w:line="360" w:lineRule="auto"/>
        <w:ind w:firstLine="640" w:firstLineChars="200"/>
        <w:rPr>
          <w:rFonts w:cs="宋体"/>
          <w:kern w:val="0"/>
          <w:szCs w:val="32"/>
          <w:highlight w:val="none"/>
          <w:u w:val="none"/>
        </w:rPr>
      </w:pPr>
      <w:r>
        <w:rPr>
          <w:rFonts w:hint="eastAsia" w:cs="宋体"/>
          <w:kern w:val="0"/>
          <w:szCs w:val="32"/>
          <w:highlight w:val="none"/>
          <w:u w:val="none"/>
        </w:rPr>
        <w:t>1．获得国家、省、市级主管部门批复或认定；</w:t>
      </w:r>
    </w:p>
    <w:p>
      <w:pPr>
        <w:widowControl/>
        <w:numPr>
          <w:ilvl w:val="255"/>
          <w:numId w:val="0"/>
        </w:numPr>
        <w:shd w:val="clear" w:color="auto" w:fill="FFFFFF"/>
        <w:spacing w:line="360" w:lineRule="auto"/>
        <w:ind w:firstLine="640" w:firstLineChars="200"/>
        <w:rPr>
          <w:rFonts w:cs="宋体"/>
          <w:kern w:val="0"/>
          <w:szCs w:val="32"/>
          <w:highlight w:val="none"/>
          <w:u w:val="none"/>
        </w:rPr>
      </w:pPr>
      <w:r>
        <w:rPr>
          <w:rFonts w:hint="eastAsia" w:cs="宋体"/>
          <w:kern w:val="0"/>
          <w:szCs w:val="32"/>
          <w:highlight w:val="none"/>
          <w:u w:val="none"/>
        </w:rPr>
        <w:t>2．承担国家、省、市重大项目和课题，建设国家创新载体。</w:t>
      </w:r>
    </w:p>
    <w:p>
      <w:pPr>
        <w:widowControl/>
        <w:shd w:val="clear" w:color="auto" w:fill="FFFFFF"/>
        <w:spacing w:line="360" w:lineRule="auto"/>
        <w:ind w:firstLine="643"/>
        <w:rPr>
          <w:rFonts w:cs="宋体"/>
          <w:kern w:val="0"/>
          <w:szCs w:val="32"/>
          <w:highlight w:val="none"/>
          <w:u w:val="none"/>
        </w:rPr>
      </w:pPr>
      <w:r>
        <w:rPr>
          <w:rFonts w:hint="eastAsia" w:cs="宋体"/>
          <w:b/>
          <w:kern w:val="0"/>
          <w:szCs w:val="32"/>
          <w:highlight w:val="none"/>
          <w:u w:val="none"/>
        </w:rPr>
        <w:t xml:space="preserve">第二十四条 </w:t>
      </w:r>
      <w:r>
        <w:rPr>
          <w:rFonts w:hint="eastAsia" w:cs="宋体"/>
          <w:kern w:val="0"/>
          <w:szCs w:val="32"/>
          <w:highlight w:val="none"/>
          <w:u w:val="none"/>
        </w:rPr>
        <w:t>对获得国家文化科技融合示范基地（集聚类）认定的单位一次性奖励</w:t>
      </w:r>
      <w:r>
        <w:rPr>
          <w:rFonts w:cs="宋体"/>
          <w:kern w:val="0"/>
          <w:szCs w:val="32"/>
          <w:highlight w:val="none"/>
          <w:u w:val="none"/>
        </w:rPr>
        <w:t>300</w:t>
      </w:r>
      <w:r>
        <w:rPr>
          <w:rFonts w:hint="eastAsia" w:cs="宋体"/>
          <w:kern w:val="0"/>
          <w:szCs w:val="32"/>
          <w:highlight w:val="none"/>
          <w:u w:val="none"/>
        </w:rPr>
        <w:t>万元，获得国家文化科技融合示范基地（单体类）认定的单位一次性奖励</w:t>
      </w:r>
      <w:r>
        <w:rPr>
          <w:rFonts w:cs="宋体"/>
          <w:kern w:val="0"/>
          <w:szCs w:val="32"/>
          <w:highlight w:val="none"/>
          <w:u w:val="none"/>
        </w:rPr>
        <w:t>100</w:t>
      </w:r>
      <w:r>
        <w:rPr>
          <w:rFonts w:hint="eastAsia" w:cs="宋体"/>
          <w:kern w:val="0"/>
          <w:szCs w:val="32"/>
          <w:highlight w:val="none"/>
          <w:u w:val="none"/>
        </w:rPr>
        <w:t>万元。</w:t>
      </w:r>
    </w:p>
    <w:p>
      <w:pPr>
        <w:pStyle w:val="13"/>
        <w:spacing w:line="360" w:lineRule="auto"/>
        <w:ind w:firstLine="643" w:firstLineChars="200"/>
        <w:rPr>
          <w:rFonts w:ascii="仿宋_GB2312" w:eastAsia="仿宋_GB2312"/>
          <w:sz w:val="32"/>
          <w:szCs w:val="32"/>
          <w:highlight w:val="none"/>
          <w:u w:val="none"/>
        </w:rPr>
      </w:pPr>
      <w:r>
        <w:rPr>
          <w:rFonts w:hint="eastAsia" w:ascii="Times New Roman" w:hAnsi="Times New Roman" w:eastAsia="仿宋_GB2312" w:cs="宋体"/>
          <w:b/>
          <w:kern w:val="0"/>
          <w:sz w:val="32"/>
          <w:szCs w:val="32"/>
          <w:highlight w:val="none"/>
          <w:u w:val="none"/>
        </w:rPr>
        <w:t>第二十五条</w:t>
      </w:r>
      <w:r>
        <w:rPr>
          <w:rFonts w:hint="eastAsia" w:ascii="仿宋_GB2312" w:eastAsia="仿宋_GB2312"/>
          <w:sz w:val="32"/>
          <w:szCs w:val="32"/>
          <w:highlight w:val="none"/>
          <w:u w:val="none"/>
        </w:rPr>
        <w:t xml:space="preserve"> 文化（体育）产业重点项目贷款贴息。文化（体育）产业重点项目贷款，对贷款过程中支付的利息给予补贴。按已支付贷款利息70%的比例进行补贴，每家企业每年贴息总额最高不超过100万元。</w:t>
      </w:r>
    </w:p>
    <w:p>
      <w:pPr>
        <w:pStyle w:val="13"/>
        <w:spacing w:line="360" w:lineRule="auto"/>
        <w:ind w:firstLine="643" w:firstLineChars="200"/>
        <w:rPr>
          <w:rFonts w:ascii="Times New Roman" w:hAnsi="Times New Roman" w:eastAsia="仿宋_GB2312" w:cs="宋体"/>
          <w:bCs/>
          <w:kern w:val="0"/>
          <w:sz w:val="32"/>
          <w:szCs w:val="32"/>
          <w:highlight w:val="none"/>
          <w:u w:val="none"/>
        </w:rPr>
      </w:pPr>
      <w:r>
        <w:rPr>
          <w:rFonts w:hint="eastAsia" w:ascii="Times New Roman" w:hAnsi="Times New Roman" w:eastAsia="仿宋_GB2312" w:cs="宋体"/>
          <w:b/>
          <w:kern w:val="0"/>
          <w:sz w:val="32"/>
          <w:szCs w:val="32"/>
          <w:highlight w:val="none"/>
          <w:u w:val="none"/>
        </w:rPr>
        <w:t>第二十六条</w:t>
      </w:r>
      <w:r>
        <w:rPr>
          <w:rFonts w:hint="eastAsia" w:ascii="Times New Roman" w:hAnsi="Times New Roman" w:eastAsia="仿宋_GB2312" w:cs="宋体"/>
          <w:bCs/>
          <w:kern w:val="0"/>
          <w:sz w:val="32"/>
          <w:szCs w:val="32"/>
          <w:highlight w:val="none"/>
          <w:u w:val="none"/>
        </w:rPr>
        <w:t xml:space="preserve"> 贷款担保、评估费用补贴。对通过担保机构获得深圳市各银行贷款的文化企业，可按上一年度实际发生的担保费用、评估费用给予不超过50%的补贴。单笔贷款补贴比例不超过贷款额2%、补贴金额最高不超过50万元，每家企业每年补贴金额最高不超过100万元。</w:t>
      </w:r>
    </w:p>
    <w:p>
      <w:pPr>
        <w:pStyle w:val="13"/>
        <w:spacing w:line="360" w:lineRule="auto"/>
        <w:ind w:firstLine="643" w:firstLineChars="200"/>
        <w:rPr>
          <w:rFonts w:ascii="Times New Roman" w:hAnsi="Times New Roman" w:eastAsia="仿宋_GB2312" w:cs="宋体"/>
          <w:bCs/>
          <w:kern w:val="0"/>
          <w:sz w:val="32"/>
          <w:szCs w:val="32"/>
          <w:highlight w:val="none"/>
          <w:u w:val="none"/>
        </w:rPr>
      </w:pPr>
      <w:r>
        <w:rPr>
          <w:rFonts w:hint="eastAsia" w:ascii="Times New Roman" w:hAnsi="Times New Roman" w:eastAsia="仿宋_GB2312" w:cs="宋体"/>
          <w:b/>
          <w:kern w:val="0"/>
          <w:sz w:val="32"/>
          <w:szCs w:val="32"/>
          <w:highlight w:val="none"/>
          <w:u w:val="none"/>
        </w:rPr>
        <w:t xml:space="preserve">第二十七条 </w:t>
      </w:r>
      <w:r>
        <w:rPr>
          <w:rFonts w:hint="eastAsia" w:ascii="仿宋_GB2312" w:eastAsia="仿宋_GB2312"/>
          <w:sz w:val="32"/>
          <w:szCs w:val="32"/>
          <w:highlight w:val="none"/>
          <w:u w:val="none"/>
        </w:rPr>
        <w:t xml:space="preserve"> </w:t>
      </w:r>
      <w:r>
        <w:rPr>
          <w:rFonts w:hint="eastAsia" w:ascii="Times New Roman" w:hAnsi="Times New Roman" w:eastAsia="仿宋_GB2312" w:cs="宋体"/>
          <w:bCs/>
          <w:kern w:val="0"/>
          <w:sz w:val="32"/>
          <w:szCs w:val="32"/>
          <w:highlight w:val="none"/>
          <w:u w:val="none"/>
        </w:rPr>
        <w:t>鼓励投资基金投资产业园区内中小文化（体育）企业。对于注册在南山区的投资基金上年度投资南山区产业园区内的中小企业予以奖励。奖励比例为投资实际到账金额的3%，每家基金公司每年最高奖励金额最高不超过100万元。</w:t>
      </w:r>
    </w:p>
    <w:p>
      <w:pPr>
        <w:widowControl/>
        <w:shd w:val="clear" w:color="auto" w:fill="FFFFFF"/>
        <w:spacing w:line="360" w:lineRule="auto"/>
        <w:ind w:firstLine="640"/>
        <w:jc w:val="center"/>
        <w:rPr>
          <w:rFonts w:ascii="黑体" w:hAnsi="黑体" w:eastAsia="黑体" w:cs="宋体"/>
          <w:kern w:val="0"/>
          <w:szCs w:val="32"/>
          <w:highlight w:val="none"/>
          <w:u w:val="none"/>
        </w:rPr>
      </w:pPr>
    </w:p>
    <w:p>
      <w:pPr>
        <w:widowControl/>
        <w:shd w:val="clear" w:color="auto" w:fill="FFFFFF"/>
        <w:spacing w:line="360" w:lineRule="auto"/>
        <w:ind w:firstLine="0" w:firstLineChars="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第八章</w:t>
      </w:r>
      <w:r>
        <w:rPr>
          <w:rFonts w:ascii="黑体" w:hAnsi="黑体" w:eastAsia="黑体" w:cs="宋体"/>
          <w:kern w:val="0"/>
          <w:szCs w:val="32"/>
          <w:highlight w:val="none"/>
          <w:u w:val="none"/>
        </w:rPr>
        <w:t xml:space="preserve"> </w:t>
      </w:r>
      <w:r>
        <w:rPr>
          <w:rFonts w:hint="eastAsia" w:ascii="黑体" w:hAnsi="黑体" w:eastAsia="黑体" w:cs="宋体"/>
          <w:iCs/>
          <w:kern w:val="0"/>
          <w:szCs w:val="32"/>
          <w:highlight w:val="none"/>
          <w:u w:val="none"/>
        </w:rPr>
        <w:t>支持旅游业创新发展</w:t>
      </w:r>
    </w:p>
    <w:p>
      <w:pPr>
        <w:widowControl/>
        <w:spacing w:line="600" w:lineRule="exact"/>
        <w:ind w:firstLine="540" w:firstLineChars="168"/>
        <w:rPr>
          <w:rFonts w:cs="宋体"/>
          <w:bCs/>
          <w:kern w:val="0"/>
          <w:szCs w:val="32"/>
          <w:highlight w:val="none"/>
          <w:u w:val="none"/>
        </w:rPr>
      </w:pPr>
      <w:r>
        <w:rPr>
          <w:rFonts w:hint="eastAsia" w:cs="宋体"/>
          <w:b/>
          <w:bCs/>
          <w:kern w:val="0"/>
          <w:szCs w:val="32"/>
          <w:highlight w:val="none"/>
          <w:u w:val="none"/>
        </w:rPr>
        <w:t xml:space="preserve">第二十八条 </w:t>
      </w:r>
      <w:r>
        <w:rPr>
          <w:rFonts w:hint="eastAsia" w:cs="宋体"/>
          <w:kern w:val="0"/>
          <w:szCs w:val="32"/>
          <w:highlight w:val="none"/>
          <w:u w:val="none"/>
        </w:rPr>
        <w:t>鼓励企业挖掘滨海、文化、科技、休闲等旅游资源，投资建设新的特色旅游项目。对创新特色显著、示范意义突出的新旅游项目，根据不超过项目实际投入15%的比例对投资企业给予资助，单个项目最高不超过300万元。申请项目限上一年度竣工且实施地在南山区。</w:t>
      </w:r>
    </w:p>
    <w:p>
      <w:pPr>
        <w:widowControl/>
        <w:spacing w:line="600" w:lineRule="exact"/>
        <w:ind w:firstLine="540" w:firstLineChars="168"/>
        <w:rPr>
          <w:rFonts w:cs="宋体"/>
          <w:kern w:val="0"/>
          <w:szCs w:val="32"/>
          <w:highlight w:val="none"/>
          <w:u w:val="none"/>
        </w:rPr>
      </w:pPr>
      <w:r>
        <w:rPr>
          <w:rFonts w:hint="eastAsia" w:cs="宋体"/>
          <w:b/>
          <w:bCs/>
          <w:kern w:val="0"/>
          <w:szCs w:val="32"/>
          <w:highlight w:val="none"/>
          <w:u w:val="none"/>
        </w:rPr>
        <w:t>第二十九条</w:t>
      </w:r>
      <w:r>
        <w:rPr>
          <w:rFonts w:hint="eastAsia" w:cs="宋体"/>
          <w:kern w:val="0"/>
          <w:szCs w:val="32"/>
          <w:highlight w:val="none"/>
          <w:u w:val="none"/>
        </w:rPr>
        <w:t xml:space="preserve"> 支持国家A级旅游景区、星级旅游饭店、邮轮游艇运营等旅游相关企业开发新项目和新景点，升级改造旅游设备设施，完善旅游购物、餐饮服务、旅游厕所等配套设施，发展旅游在线服务、智慧旅游等旅游信息化项目，按照不超过其项目实际投入15%的比例给予资助。每家企业每年可申报一次，每年资助金额最高不超过150万元。申请项目限上一年度竣工且实施地在南山区，合同数不超过10个，投入时间不超过上两年度，投入额不低于50万元。</w:t>
      </w:r>
    </w:p>
    <w:p>
      <w:pPr>
        <w:widowControl/>
        <w:spacing w:line="600" w:lineRule="exact"/>
        <w:ind w:firstLine="540" w:firstLineChars="168"/>
        <w:rPr>
          <w:rFonts w:cs="宋体"/>
          <w:kern w:val="0"/>
          <w:szCs w:val="32"/>
          <w:highlight w:val="none"/>
          <w:u w:val="none"/>
        </w:rPr>
      </w:pPr>
      <w:r>
        <w:rPr>
          <w:rFonts w:hint="eastAsia" w:cs="宋体"/>
          <w:b/>
          <w:bCs/>
          <w:kern w:val="0"/>
          <w:szCs w:val="32"/>
          <w:highlight w:val="none"/>
          <w:u w:val="none"/>
        </w:rPr>
        <w:t>第三十条</w:t>
      </w:r>
      <w:r>
        <w:rPr>
          <w:rFonts w:hint="eastAsia" w:cs="宋体"/>
          <w:kern w:val="0"/>
          <w:szCs w:val="32"/>
          <w:highlight w:val="none"/>
          <w:u w:val="none"/>
        </w:rPr>
        <w:t xml:space="preserve"> 鼓励企业发展工业旅游，提升企业品牌。支持我区具备条件的企业发展工业旅游项目，对经评定的“南山区工业旅游景点”，根据接待设施、硬件投入、服务项目、人员培训等情况，按照不超过企业实际投入50%的比例给予资助，每家企业每年最高不超过20万元。申请项目合同数不超过10个，投入时间不超过上两年度。</w:t>
      </w:r>
    </w:p>
    <w:p>
      <w:pPr>
        <w:widowControl/>
        <w:spacing w:line="600" w:lineRule="exact"/>
        <w:ind w:firstLine="540" w:firstLineChars="168"/>
        <w:rPr>
          <w:rFonts w:cs="宋体"/>
          <w:kern w:val="0"/>
          <w:szCs w:val="32"/>
          <w:highlight w:val="none"/>
          <w:u w:val="none"/>
        </w:rPr>
      </w:pPr>
      <w:r>
        <w:rPr>
          <w:rFonts w:hint="eastAsia" w:cs="宋体"/>
          <w:b/>
          <w:bCs/>
          <w:kern w:val="0"/>
          <w:szCs w:val="32"/>
          <w:highlight w:val="none"/>
          <w:u w:val="none"/>
        </w:rPr>
        <w:t>第三十一条</w:t>
      </w:r>
      <w:r>
        <w:rPr>
          <w:rFonts w:hint="eastAsia" w:cs="宋体"/>
          <w:kern w:val="0"/>
          <w:szCs w:val="32"/>
          <w:highlight w:val="none"/>
          <w:u w:val="none"/>
        </w:rPr>
        <w:t xml:space="preserve"> 支持开展旅游行业推广活动。对在南山区文化广电旅游体育局备案，由区政府或相关行业主管部门主办，相关行业协会或机构及我区旅游企业承办的对南山旅游行业发展有积极意义的大型宣传推广活动，按不超过承办单位实际发生活动费用50%的比例给予资助，每家单位每年资助总额最高不超过50万元。</w:t>
      </w:r>
    </w:p>
    <w:p>
      <w:pPr>
        <w:widowControl/>
        <w:spacing w:line="600" w:lineRule="exact"/>
        <w:ind w:firstLine="540" w:firstLineChars="168"/>
        <w:rPr>
          <w:rFonts w:cs="宋体"/>
          <w:bCs/>
          <w:kern w:val="0"/>
          <w:szCs w:val="32"/>
          <w:highlight w:val="none"/>
          <w:u w:val="none"/>
        </w:rPr>
      </w:pPr>
      <w:r>
        <w:rPr>
          <w:rFonts w:hint="eastAsia" w:cs="宋体"/>
          <w:b/>
          <w:bCs/>
          <w:kern w:val="0"/>
          <w:szCs w:val="32"/>
          <w:highlight w:val="none"/>
          <w:u w:val="none"/>
        </w:rPr>
        <w:t>第三十二条</w:t>
      </w:r>
      <w:r>
        <w:rPr>
          <w:rFonts w:hint="eastAsia" w:cs="宋体"/>
          <w:kern w:val="0"/>
          <w:szCs w:val="32"/>
          <w:highlight w:val="none"/>
          <w:u w:val="none"/>
        </w:rPr>
        <w:t xml:space="preserve"> 支持邮轮旅游发展。对注册在南山区且在辖区内开展邮轮港口业务的码头公司引入邮轮停靠南山母港，按照不超过1元/净吨/航次（指载客航次）的标准给予支持。每家企业每年资助最高不超过300万元。</w:t>
      </w:r>
    </w:p>
    <w:p>
      <w:pPr>
        <w:widowControl/>
        <w:shd w:val="clear" w:color="auto" w:fill="FFFFFF"/>
        <w:spacing w:line="360" w:lineRule="auto"/>
        <w:ind w:firstLine="640"/>
        <w:jc w:val="center"/>
        <w:rPr>
          <w:rFonts w:ascii="黑体" w:hAnsi="黑体" w:eastAsia="黑体" w:cs="宋体"/>
          <w:kern w:val="0"/>
          <w:szCs w:val="32"/>
          <w:highlight w:val="none"/>
          <w:u w:val="none"/>
        </w:rPr>
      </w:pPr>
    </w:p>
    <w:p>
      <w:pPr>
        <w:widowControl/>
        <w:shd w:val="clear" w:color="auto" w:fill="FFFFFF"/>
        <w:spacing w:line="360" w:lineRule="auto"/>
        <w:ind w:firstLine="640"/>
        <w:jc w:val="center"/>
        <w:rPr>
          <w:rFonts w:ascii="黑体" w:hAnsi="黑体" w:eastAsia="黑体" w:cs="宋体"/>
          <w:kern w:val="0"/>
          <w:szCs w:val="32"/>
          <w:highlight w:val="none"/>
          <w:u w:val="none"/>
        </w:rPr>
      </w:pPr>
      <w:r>
        <w:rPr>
          <w:rFonts w:hint="eastAsia" w:ascii="黑体" w:hAnsi="黑体" w:eastAsia="黑体" w:cs="宋体"/>
          <w:kern w:val="0"/>
          <w:szCs w:val="32"/>
          <w:highlight w:val="none"/>
          <w:u w:val="none"/>
        </w:rPr>
        <w:t>第九章 附则</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第三十三条</w:t>
      </w:r>
      <w:r>
        <w:rPr>
          <w:rFonts w:hint="eastAsia" w:cs="宋体"/>
          <w:kern w:val="0"/>
          <w:szCs w:val="32"/>
          <w:highlight w:val="none"/>
          <w:u w:val="none"/>
        </w:rPr>
        <w:t xml:space="preserve"> 本实施细则尚未涵盖但对南山区文化</w:t>
      </w:r>
      <w:r>
        <w:rPr>
          <w:rFonts w:hint="eastAsia" w:cs="宋体"/>
          <w:kern w:val="0"/>
          <w:szCs w:val="32"/>
          <w:highlight w:val="none"/>
          <w:u w:val="none"/>
          <w:shd w:val="clear" w:color="auto" w:fill="auto"/>
        </w:rPr>
        <w:t>（体育及旅游）</w:t>
      </w:r>
      <w:r>
        <w:rPr>
          <w:rFonts w:hint="eastAsia" w:cs="宋体"/>
          <w:kern w:val="0"/>
          <w:szCs w:val="32"/>
          <w:highlight w:val="none"/>
          <w:u w:val="none"/>
        </w:rPr>
        <w:t>产业发展有重要影响的事项或上级部门有明确要求的事项，由相关单位直接向主管部门提出申请，按“一事一议”的方式报区自主创新产业发展专项资金领导小组会议审议。</w:t>
      </w:r>
    </w:p>
    <w:p>
      <w:pPr>
        <w:widowControl/>
        <w:shd w:val="clear" w:color="auto" w:fill="FFFFFF"/>
        <w:spacing w:line="360" w:lineRule="auto"/>
        <w:ind w:firstLine="643"/>
        <w:jc w:val="left"/>
        <w:rPr>
          <w:rFonts w:cs="宋体"/>
          <w:kern w:val="0"/>
          <w:szCs w:val="32"/>
          <w:highlight w:val="none"/>
          <w:u w:val="none"/>
        </w:rPr>
      </w:pPr>
      <w:r>
        <w:rPr>
          <w:rFonts w:hint="eastAsia" w:cs="宋体"/>
          <w:b/>
          <w:kern w:val="0"/>
          <w:szCs w:val="32"/>
          <w:highlight w:val="none"/>
          <w:u w:val="none"/>
        </w:rPr>
        <w:t>第三十四条</w:t>
      </w:r>
      <w:r>
        <w:rPr>
          <w:rFonts w:hint="eastAsia" w:cs="宋体"/>
          <w:kern w:val="0"/>
          <w:szCs w:val="32"/>
          <w:highlight w:val="none"/>
          <w:u w:val="none"/>
        </w:rPr>
        <w:t xml:space="preserve"> 本实施细则自发布之日起施行，有效期三年。本实施细则由区</w:t>
      </w:r>
      <w:r>
        <w:rPr>
          <w:rFonts w:hint="eastAsia" w:cs="宋体"/>
          <w:kern w:val="0"/>
          <w:szCs w:val="32"/>
          <w:highlight w:val="none"/>
          <w:u w:val="none"/>
          <w:shd w:val="clear" w:color="auto" w:fill="auto"/>
        </w:rPr>
        <w:t>文化广电旅游体育局</w:t>
      </w:r>
      <w:r>
        <w:rPr>
          <w:rFonts w:hint="eastAsia" w:cs="宋体"/>
          <w:kern w:val="0"/>
          <w:szCs w:val="32"/>
          <w:highlight w:val="none"/>
          <w:u w:val="none"/>
        </w:rPr>
        <w:t>负责解释，制定与本实施细则相关的使用操作规程及各项申报指南。</w:t>
      </w:r>
    </w:p>
    <w:p>
      <w:pPr>
        <w:spacing w:line="360" w:lineRule="auto"/>
        <w:ind w:firstLine="640"/>
        <w:rPr>
          <w:szCs w:val="32"/>
          <w:highlight w:val="none"/>
          <w:u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2586078"/>
    </w:sdtPr>
    <w:sdtContent>
      <w:p>
        <w:pPr>
          <w:pStyle w:val="3"/>
          <w:ind w:firstLine="360"/>
          <w:jc w:val="center"/>
        </w:pPr>
        <w:r>
          <w:fldChar w:fldCharType="begin"/>
        </w:r>
        <w:r>
          <w:instrText xml:space="preserve">PAGE   \* MERGEFORMAT</w:instrText>
        </w:r>
        <w:r>
          <w:fldChar w:fldCharType="separate"/>
        </w:r>
        <w:r>
          <w:rPr>
            <w:lang w:val="zh-CN"/>
          </w:rPr>
          <w:t>14</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B44"/>
    <w:rsid w:val="000008CF"/>
    <w:rsid w:val="000064BD"/>
    <w:rsid w:val="00013631"/>
    <w:rsid w:val="00013B6B"/>
    <w:rsid w:val="00016DD9"/>
    <w:rsid w:val="00022A42"/>
    <w:rsid w:val="00023DAE"/>
    <w:rsid w:val="0002537F"/>
    <w:rsid w:val="00030737"/>
    <w:rsid w:val="000318B6"/>
    <w:rsid w:val="00032FC5"/>
    <w:rsid w:val="000351E5"/>
    <w:rsid w:val="00036B73"/>
    <w:rsid w:val="00037513"/>
    <w:rsid w:val="00041588"/>
    <w:rsid w:val="00045D0C"/>
    <w:rsid w:val="00047703"/>
    <w:rsid w:val="00047C95"/>
    <w:rsid w:val="000502F1"/>
    <w:rsid w:val="00050C32"/>
    <w:rsid w:val="000520EE"/>
    <w:rsid w:val="0006044F"/>
    <w:rsid w:val="00062612"/>
    <w:rsid w:val="00066904"/>
    <w:rsid w:val="00070106"/>
    <w:rsid w:val="0007068D"/>
    <w:rsid w:val="00077EAC"/>
    <w:rsid w:val="0008707A"/>
    <w:rsid w:val="00091705"/>
    <w:rsid w:val="00094573"/>
    <w:rsid w:val="000A323D"/>
    <w:rsid w:val="000A5E43"/>
    <w:rsid w:val="000A6174"/>
    <w:rsid w:val="000B2CA3"/>
    <w:rsid w:val="000C1B8A"/>
    <w:rsid w:val="000C4813"/>
    <w:rsid w:val="000C6FDA"/>
    <w:rsid w:val="000D350A"/>
    <w:rsid w:val="000D47AF"/>
    <w:rsid w:val="000D47CA"/>
    <w:rsid w:val="000D495B"/>
    <w:rsid w:val="000D7388"/>
    <w:rsid w:val="000D7D4A"/>
    <w:rsid w:val="000D7EDD"/>
    <w:rsid w:val="000E2022"/>
    <w:rsid w:val="000E2F8F"/>
    <w:rsid w:val="000E407B"/>
    <w:rsid w:val="000E4D31"/>
    <w:rsid w:val="000E5AC2"/>
    <w:rsid w:val="000F2AB6"/>
    <w:rsid w:val="000F370D"/>
    <w:rsid w:val="000F5D3D"/>
    <w:rsid w:val="000F670F"/>
    <w:rsid w:val="000F7562"/>
    <w:rsid w:val="000F7B1E"/>
    <w:rsid w:val="0010421B"/>
    <w:rsid w:val="00110452"/>
    <w:rsid w:val="00110DB2"/>
    <w:rsid w:val="00114B83"/>
    <w:rsid w:val="00130422"/>
    <w:rsid w:val="00134B0A"/>
    <w:rsid w:val="001353D2"/>
    <w:rsid w:val="001359E0"/>
    <w:rsid w:val="00137D9D"/>
    <w:rsid w:val="001447B3"/>
    <w:rsid w:val="00145D45"/>
    <w:rsid w:val="00150B33"/>
    <w:rsid w:val="00153345"/>
    <w:rsid w:val="00157635"/>
    <w:rsid w:val="00160831"/>
    <w:rsid w:val="00160E2B"/>
    <w:rsid w:val="001667F4"/>
    <w:rsid w:val="0017127B"/>
    <w:rsid w:val="001713BA"/>
    <w:rsid w:val="00172FF0"/>
    <w:rsid w:val="001737EC"/>
    <w:rsid w:val="00173F90"/>
    <w:rsid w:val="00175966"/>
    <w:rsid w:val="001766AC"/>
    <w:rsid w:val="00180871"/>
    <w:rsid w:val="00181E26"/>
    <w:rsid w:val="00184A3F"/>
    <w:rsid w:val="00185871"/>
    <w:rsid w:val="00185DF6"/>
    <w:rsid w:val="00187E8E"/>
    <w:rsid w:val="00190413"/>
    <w:rsid w:val="00191987"/>
    <w:rsid w:val="00195761"/>
    <w:rsid w:val="0019679B"/>
    <w:rsid w:val="001A1CED"/>
    <w:rsid w:val="001A1E55"/>
    <w:rsid w:val="001A299C"/>
    <w:rsid w:val="001A327A"/>
    <w:rsid w:val="001A5E7C"/>
    <w:rsid w:val="001A6772"/>
    <w:rsid w:val="001B1B06"/>
    <w:rsid w:val="001B541A"/>
    <w:rsid w:val="001B75EF"/>
    <w:rsid w:val="001C0EC6"/>
    <w:rsid w:val="001C14C9"/>
    <w:rsid w:val="001D3A06"/>
    <w:rsid w:val="001D791C"/>
    <w:rsid w:val="001D79F3"/>
    <w:rsid w:val="001E27B1"/>
    <w:rsid w:val="001E4AC6"/>
    <w:rsid w:val="001E6A21"/>
    <w:rsid w:val="001F403F"/>
    <w:rsid w:val="001F622A"/>
    <w:rsid w:val="0020365D"/>
    <w:rsid w:val="002038B0"/>
    <w:rsid w:val="0020458C"/>
    <w:rsid w:val="00204640"/>
    <w:rsid w:val="002130C0"/>
    <w:rsid w:val="00214F8E"/>
    <w:rsid w:val="0021744D"/>
    <w:rsid w:val="00223560"/>
    <w:rsid w:val="00227672"/>
    <w:rsid w:val="00232BA7"/>
    <w:rsid w:val="00233661"/>
    <w:rsid w:val="00233681"/>
    <w:rsid w:val="00233D08"/>
    <w:rsid w:val="00234148"/>
    <w:rsid w:val="0023733D"/>
    <w:rsid w:val="00246E57"/>
    <w:rsid w:val="00251898"/>
    <w:rsid w:val="00253B2F"/>
    <w:rsid w:val="00257172"/>
    <w:rsid w:val="00257985"/>
    <w:rsid w:val="00264FDA"/>
    <w:rsid w:val="0026550F"/>
    <w:rsid w:val="00270C95"/>
    <w:rsid w:val="002714D9"/>
    <w:rsid w:val="0027154E"/>
    <w:rsid w:val="00272883"/>
    <w:rsid w:val="00273E67"/>
    <w:rsid w:val="00275CF3"/>
    <w:rsid w:val="0027715A"/>
    <w:rsid w:val="00283490"/>
    <w:rsid w:val="002858E5"/>
    <w:rsid w:val="00285C17"/>
    <w:rsid w:val="002938F3"/>
    <w:rsid w:val="002958E0"/>
    <w:rsid w:val="002A4E08"/>
    <w:rsid w:val="002A519D"/>
    <w:rsid w:val="002A583B"/>
    <w:rsid w:val="002A72B2"/>
    <w:rsid w:val="002B1323"/>
    <w:rsid w:val="002B4590"/>
    <w:rsid w:val="002B49FF"/>
    <w:rsid w:val="002B7FD0"/>
    <w:rsid w:val="002C027C"/>
    <w:rsid w:val="002C1BED"/>
    <w:rsid w:val="002C2880"/>
    <w:rsid w:val="002C5D3C"/>
    <w:rsid w:val="002C64B2"/>
    <w:rsid w:val="002C722C"/>
    <w:rsid w:val="002D2BDE"/>
    <w:rsid w:val="002D3080"/>
    <w:rsid w:val="002D45D3"/>
    <w:rsid w:val="002D5C35"/>
    <w:rsid w:val="002F25F6"/>
    <w:rsid w:val="002F294E"/>
    <w:rsid w:val="002F6500"/>
    <w:rsid w:val="002F6F11"/>
    <w:rsid w:val="00302EE4"/>
    <w:rsid w:val="0030796A"/>
    <w:rsid w:val="00307FCD"/>
    <w:rsid w:val="00310816"/>
    <w:rsid w:val="0031132A"/>
    <w:rsid w:val="00315706"/>
    <w:rsid w:val="00315E72"/>
    <w:rsid w:val="0031768C"/>
    <w:rsid w:val="00320CF2"/>
    <w:rsid w:val="00320F8C"/>
    <w:rsid w:val="00324261"/>
    <w:rsid w:val="003251E0"/>
    <w:rsid w:val="00331540"/>
    <w:rsid w:val="003431DC"/>
    <w:rsid w:val="0034444E"/>
    <w:rsid w:val="003459C3"/>
    <w:rsid w:val="00346FA8"/>
    <w:rsid w:val="00355977"/>
    <w:rsid w:val="00361959"/>
    <w:rsid w:val="00363681"/>
    <w:rsid w:val="00370734"/>
    <w:rsid w:val="003735D8"/>
    <w:rsid w:val="00373924"/>
    <w:rsid w:val="003741EE"/>
    <w:rsid w:val="00374B4A"/>
    <w:rsid w:val="00374D53"/>
    <w:rsid w:val="003831CA"/>
    <w:rsid w:val="0038460F"/>
    <w:rsid w:val="00387145"/>
    <w:rsid w:val="00392539"/>
    <w:rsid w:val="00393F7C"/>
    <w:rsid w:val="00394DB6"/>
    <w:rsid w:val="003970E2"/>
    <w:rsid w:val="00397E9B"/>
    <w:rsid w:val="003A00C4"/>
    <w:rsid w:val="003A1264"/>
    <w:rsid w:val="003A2215"/>
    <w:rsid w:val="003A4621"/>
    <w:rsid w:val="003A5E2C"/>
    <w:rsid w:val="003B4799"/>
    <w:rsid w:val="003B4F06"/>
    <w:rsid w:val="003B6D3A"/>
    <w:rsid w:val="003C1F86"/>
    <w:rsid w:val="003C331F"/>
    <w:rsid w:val="003C446B"/>
    <w:rsid w:val="003C4A1E"/>
    <w:rsid w:val="003C4C09"/>
    <w:rsid w:val="003C4FD1"/>
    <w:rsid w:val="003C68D3"/>
    <w:rsid w:val="003C7340"/>
    <w:rsid w:val="003D14B5"/>
    <w:rsid w:val="003D71B8"/>
    <w:rsid w:val="003D7FA3"/>
    <w:rsid w:val="003E37B3"/>
    <w:rsid w:val="003E683C"/>
    <w:rsid w:val="003F27D8"/>
    <w:rsid w:val="003F603E"/>
    <w:rsid w:val="003F6DA0"/>
    <w:rsid w:val="00400F44"/>
    <w:rsid w:val="00401D11"/>
    <w:rsid w:val="00402EDB"/>
    <w:rsid w:val="0040632F"/>
    <w:rsid w:val="004064DF"/>
    <w:rsid w:val="004102C3"/>
    <w:rsid w:val="00413798"/>
    <w:rsid w:val="004167CE"/>
    <w:rsid w:val="0042562F"/>
    <w:rsid w:val="004257C2"/>
    <w:rsid w:val="00430C4A"/>
    <w:rsid w:val="004315BB"/>
    <w:rsid w:val="00431DFC"/>
    <w:rsid w:val="00432F68"/>
    <w:rsid w:val="004333EE"/>
    <w:rsid w:val="00435BE2"/>
    <w:rsid w:val="00442091"/>
    <w:rsid w:val="0044310B"/>
    <w:rsid w:val="00450214"/>
    <w:rsid w:val="0045071B"/>
    <w:rsid w:val="00451DFF"/>
    <w:rsid w:val="00451F52"/>
    <w:rsid w:val="00453084"/>
    <w:rsid w:val="00462643"/>
    <w:rsid w:val="00466634"/>
    <w:rsid w:val="00470072"/>
    <w:rsid w:val="004759E0"/>
    <w:rsid w:val="004816B6"/>
    <w:rsid w:val="00481861"/>
    <w:rsid w:val="00482467"/>
    <w:rsid w:val="00483C24"/>
    <w:rsid w:val="00486125"/>
    <w:rsid w:val="004953E7"/>
    <w:rsid w:val="004A10BE"/>
    <w:rsid w:val="004A2A1C"/>
    <w:rsid w:val="004A2B2A"/>
    <w:rsid w:val="004B010F"/>
    <w:rsid w:val="004B1D2D"/>
    <w:rsid w:val="004B2902"/>
    <w:rsid w:val="004B4820"/>
    <w:rsid w:val="004B4A80"/>
    <w:rsid w:val="004B53F7"/>
    <w:rsid w:val="004B64E8"/>
    <w:rsid w:val="004C51E9"/>
    <w:rsid w:val="004C6C03"/>
    <w:rsid w:val="004C70E7"/>
    <w:rsid w:val="004C73D8"/>
    <w:rsid w:val="004D2411"/>
    <w:rsid w:val="004D4725"/>
    <w:rsid w:val="004D66E6"/>
    <w:rsid w:val="004E0923"/>
    <w:rsid w:val="004E2822"/>
    <w:rsid w:val="004E63AE"/>
    <w:rsid w:val="004E70F8"/>
    <w:rsid w:val="004F054D"/>
    <w:rsid w:val="004F2111"/>
    <w:rsid w:val="004F356F"/>
    <w:rsid w:val="005036CC"/>
    <w:rsid w:val="005042CA"/>
    <w:rsid w:val="005042F9"/>
    <w:rsid w:val="00504DCF"/>
    <w:rsid w:val="00504F52"/>
    <w:rsid w:val="00514DE7"/>
    <w:rsid w:val="00516B87"/>
    <w:rsid w:val="00517AA0"/>
    <w:rsid w:val="00517C9C"/>
    <w:rsid w:val="00517EB2"/>
    <w:rsid w:val="00520265"/>
    <w:rsid w:val="00530165"/>
    <w:rsid w:val="00533BDA"/>
    <w:rsid w:val="00534724"/>
    <w:rsid w:val="00537E45"/>
    <w:rsid w:val="00541A6D"/>
    <w:rsid w:val="005428E2"/>
    <w:rsid w:val="00543FE8"/>
    <w:rsid w:val="005457E2"/>
    <w:rsid w:val="0055006C"/>
    <w:rsid w:val="0055161D"/>
    <w:rsid w:val="00554804"/>
    <w:rsid w:val="005632C8"/>
    <w:rsid w:val="005660A7"/>
    <w:rsid w:val="00566152"/>
    <w:rsid w:val="00567450"/>
    <w:rsid w:val="005706BC"/>
    <w:rsid w:val="0057463B"/>
    <w:rsid w:val="00577D4F"/>
    <w:rsid w:val="00581999"/>
    <w:rsid w:val="00581D7D"/>
    <w:rsid w:val="00581FAB"/>
    <w:rsid w:val="0058200B"/>
    <w:rsid w:val="00593AFF"/>
    <w:rsid w:val="00596799"/>
    <w:rsid w:val="005A6332"/>
    <w:rsid w:val="005B0B44"/>
    <w:rsid w:val="005B5577"/>
    <w:rsid w:val="005B6E10"/>
    <w:rsid w:val="005B7517"/>
    <w:rsid w:val="005B7FB3"/>
    <w:rsid w:val="005C201D"/>
    <w:rsid w:val="005C721F"/>
    <w:rsid w:val="005C7812"/>
    <w:rsid w:val="005D267F"/>
    <w:rsid w:val="005D771C"/>
    <w:rsid w:val="005D7DC2"/>
    <w:rsid w:val="005E2441"/>
    <w:rsid w:val="005F278E"/>
    <w:rsid w:val="005F36D3"/>
    <w:rsid w:val="005F4E7A"/>
    <w:rsid w:val="006016A5"/>
    <w:rsid w:val="00604380"/>
    <w:rsid w:val="00606B8C"/>
    <w:rsid w:val="00610AF2"/>
    <w:rsid w:val="0061163B"/>
    <w:rsid w:val="00613E73"/>
    <w:rsid w:val="006145FF"/>
    <w:rsid w:val="00614E9D"/>
    <w:rsid w:val="00621F3B"/>
    <w:rsid w:val="00622510"/>
    <w:rsid w:val="00622CCF"/>
    <w:rsid w:val="00625444"/>
    <w:rsid w:val="0063106A"/>
    <w:rsid w:val="00634854"/>
    <w:rsid w:val="00634F3E"/>
    <w:rsid w:val="00635048"/>
    <w:rsid w:val="00636DFE"/>
    <w:rsid w:val="00642F8B"/>
    <w:rsid w:val="0064705E"/>
    <w:rsid w:val="006470C1"/>
    <w:rsid w:val="00653066"/>
    <w:rsid w:val="006569AB"/>
    <w:rsid w:val="0066113E"/>
    <w:rsid w:val="006650FA"/>
    <w:rsid w:val="00666D4B"/>
    <w:rsid w:val="00671533"/>
    <w:rsid w:val="006744F1"/>
    <w:rsid w:val="00674660"/>
    <w:rsid w:val="00675AB9"/>
    <w:rsid w:val="00675BDD"/>
    <w:rsid w:val="0067720C"/>
    <w:rsid w:val="006816CA"/>
    <w:rsid w:val="0069083D"/>
    <w:rsid w:val="00690F39"/>
    <w:rsid w:val="00693C34"/>
    <w:rsid w:val="006A0DFD"/>
    <w:rsid w:val="006A152D"/>
    <w:rsid w:val="006A527B"/>
    <w:rsid w:val="006A5B84"/>
    <w:rsid w:val="006A626A"/>
    <w:rsid w:val="006B66BB"/>
    <w:rsid w:val="006C0DA0"/>
    <w:rsid w:val="006C2D29"/>
    <w:rsid w:val="006C2F1F"/>
    <w:rsid w:val="006C45EE"/>
    <w:rsid w:val="006C5769"/>
    <w:rsid w:val="006C599C"/>
    <w:rsid w:val="006C6B47"/>
    <w:rsid w:val="006D078B"/>
    <w:rsid w:val="006D198E"/>
    <w:rsid w:val="006D1BEF"/>
    <w:rsid w:val="006D2B63"/>
    <w:rsid w:val="006D5D18"/>
    <w:rsid w:val="006D63F6"/>
    <w:rsid w:val="006D71CA"/>
    <w:rsid w:val="006E2064"/>
    <w:rsid w:val="006E292B"/>
    <w:rsid w:val="006E405E"/>
    <w:rsid w:val="006E42BE"/>
    <w:rsid w:val="006E6C5D"/>
    <w:rsid w:val="006E77B5"/>
    <w:rsid w:val="006F0E1E"/>
    <w:rsid w:val="006F1D84"/>
    <w:rsid w:val="006F3C5F"/>
    <w:rsid w:val="0070100E"/>
    <w:rsid w:val="00710F26"/>
    <w:rsid w:val="00711C06"/>
    <w:rsid w:val="00712CD9"/>
    <w:rsid w:val="0071663E"/>
    <w:rsid w:val="00723AD0"/>
    <w:rsid w:val="00726194"/>
    <w:rsid w:val="00726F5C"/>
    <w:rsid w:val="00727608"/>
    <w:rsid w:val="00731A6A"/>
    <w:rsid w:val="00731C0F"/>
    <w:rsid w:val="007320B9"/>
    <w:rsid w:val="00741A9E"/>
    <w:rsid w:val="00742879"/>
    <w:rsid w:val="00744757"/>
    <w:rsid w:val="007511D9"/>
    <w:rsid w:val="0075487A"/>
    <w:rsid w:val="00756ED8"/>
    <w:rsid w:val="0076222D"/>
    <w:rsid w:val="0076280E"/>
    <w:rsid w:val="00763248"/>
    <w:rsid w:val="00767B75"/>
    <w:rsid w:val="00770718"/>
    <w:rsid w:val="00772C64"/>
    <w:rsid w:val="00773A1B"/>
    <w:rsid w:val="00777429"/>
    <w:rsid w:val="00780292"/>
    <w:rsid w:val="00780E43"/>
    <w:rsid w:val="00782A0F"/>
    <w:rsid w:val="007849C3"/>
    <w:rsid w:val="00787B89"/>
    <w:rsid w:val="00792FF9"/>
    <w:rsid w:val="00797CC4"/>
    <w:rsid w:val="007A0D84"/>
    <w:rsid w:val="007A2115"/>
    <w:rsid w:val="007A38B6"/>
    <w:rsid w:val="007A3C0F"/>
    <w:rsid w:val="007B11A6"/>
    <w:rsid w:val="007B1E45"/>
    <w:rsid w:val="007B5185"/>
    <w:rsid w:val="007B749D"/>
    <w:rsid w:val="007C033F"/>
    <w:rsid w:val="007C6696"/>
    <w:rsid w:val="007D0076"/>
    <w:rsid w:val="007D1CD4"/>
    <w:rsid w:val="007D6D41"/>
    <w:rsid w:val="007E0D7C"/>
    <w:rsid w:val="007E7AC8"/>
    <w:rsid w:val="007F09FF"/>
    <w:rsid w:val="007F184F"/>
    <w:rsid w:val="007F1BE5"/>
    <w:rsid w:val="007F2282"/>
    <w:rsid w:val="007F6C91"/>
    <w:rsid w:val="00802427"/>
    <w:rsid w:val="00804CEA"/>
    <w:rsid w:val="00822040"/>
    <w:rsid w:val="008220FC"/>
    <w:rsid w:val="0082321C"/>
    <w:rsid w:val="00823409"/>
    <w:rsid w:val="00823817"/>
    <w:rsid w:val="00824AF6"/>
    <w:rsid w:val="008252CB"/>
    <w:rsid w:val="008415EB"/>
    <w:rsid w:val="00841613"/>
    <w:rsid w:val="00841B45"/>
    <w:rsid w:val="00854270"/>
    <w:rsid w:val="0086123B"/>
    <w:rsid w:val="00866D01"/>
    <w:rsid w:val="00880832"/>
    <w:rsid w:val="00885311"/>
    <w:rsid w:val="008856D9"/>
    <w:rsid w:val="00887736"/>
    <w:rsid w:val="00891830"/>
    <w:rsid w:val="00893655"/>
    <w:rsid w:val="00895187"/>
    <w:rsid w:val="00896E4B"/>
    <w:rsid w:val="0089700E"/>
    <w:rsid w:val="008A03E1"/>
    <w:rsid w:val="008A51C5"/>
    <w:rsid w:val="008A77AE"/>
    <w:rsid w:val="008A7A2A"/>
    <w:rsid w:val="008B2D85"/>
    <w:rsid w:val="008B330E"/>
    <w:rsid w:val="008B33CF"/>
    <w:rsid w:val="008C09E5"/>
    <w:rsid w:val="008C0E94"/>
    <w:rsid w:val="008C3F81"/>
    <w:rsid w:val="008C548F"/>
    <w:rsid w:val="008D014B"/>
    <w:rsid w:val="008D7FD1"/>
    <w:rsid w:val="008E528F"/>
    <w:rsid w:val="008E7915"/>
    <w:rsid w:val="008E7D84"/>
    <w:rsid w:val="008F4F4F"/>
    <w:rsid w:val="008F500F"/>
    <w:rsid w:val="00900E30"/>
    <w:rsid w:val="00901CF1"/>
    <w:rsid w:val="0090440E"/>
    <w:rsid w:val="00907BCD"/>
    <w:rsid w:val="009139F6"/>
    <w:rsid w:val="00915E53"/>
    <w:rsid w:val="00916EF4"/>
    <w:rsid w:val="00917DF5"/>
    <w:rsid w:val="0092192A"/>
    <w:rsid w:val="00923299"/>
    <w:rsid w:val="009270E7"/>
    <w:rsid w:val="009271C3"/>
    <w:rsid w:val="00932FAB"/>
    <w:rsid w:val="00937BCA"/>
    <w:rsid w:val="009405DD"/>
    <w:rsid w:val="009417E8"/>
    <w:rsid w:val="0094216B"/>
    <w:rsid w:val="00952686"/>
    <w:rsid w:val="009570BB"/>
    <w:rsid w:val="0096097A"/>
    <w:rsid w:val="00962E0A"/>
    <w:rsid w:val="009742E3"/>
    <w:rsid w:val="00982CB8"/>
    <w:rsid w:val="00984E7C"/>
    <w:rsid w:val="00990B22"/>
    <w:rsid w:val="00996D39"/>
    <w:rsid w:val="009A6C30"/>
    <w:rsid w:val="009B6BAC"/>
    <w:rsid w:val="009C1405"/>
    <w:rsid w:val="009C4665"/>
    <w:rsid w:val="009C70F7"/>
    <w:rsid w:val="009D1099"/>
    <w:rsid w:val="009D1831"/>
    <w:rsid w:val="009D2823"/>
    <w:rsid w:val="009D723D"/>
    <w:rsid w:val="009D7D90"/>
    <w:rsid w:val="009E2582"/>
    <w:rsid w:val="009E3FF1"/>
    <w:rsid w:val="009F2FC1"/>
    <w:rsid w:val="009F6154"/>
    <w:rsid w:val="00A01447"/>
    <w:rsid w:val="00A02186"/>
    <w:rsid w:val="00A022AE"/>
    <w:rsid w:val="00A02ACF"/>
    <w:rsid w:val="00A11CA0"/>
    <w:rsid w:val="00A12A08"/>
    <w:rsid w:val="00A1303B"/>
    <w:rsid w:val="00A158DE"/>
    <w:rsid w:val="00A1738C"/>
    <w:rsid w:val="00A21EE8"/>
    <w:rsid w:val="00A23126"/>
    <w:rsid w:val="00A27E85"/>
    <w:rsid w:val="00A3309B"/>
    <w:rsid w:val="00A342A0"/>
    <w:rsid w:val="00A35341"/>
    <w:rsid w:val="00A35BD6"/>
    <w:rsid w:val="00A40D84"/>
    <w:rsid w:val="00A443EE"/>
    <w:rsid w:val="00A444BB"/>
    <w:rsid w:val="00A50A26"/>
    <w:rsid w:val="00A51EE8"/>
    <w:rsid w:val="00A6020D"/>
    <w:rsid w:val="00A60306"/>
    <w:rsid w:val="00A62302"/>
    <w:rsid w:val="00A64C98"/>
    <w:rsid w:val="00A65C05"/>
    <w:rsid w:val="00A83915"/>
    <w:rsid w:val="00A8623C"/>
    <w:rsid w:val="00A8757E"/>
    <w:rsid w:val="00A94BA8"/>
    <w:rsid w:val="00A94C58"/>
    <w:rsid w:val="00A94E12"/>
    <w:rsid w:val="00AA674C"/>
    <w:rsid w:val="00AB01A9"/>
    <w:rsid w:val="00AB0266"/>
    <w:rsid w:val="00AB080A"/>
    <w:rsid w:val="00AB0A3B"/>
    <w:rsid w:val="00AB2806"/>
    <w:rsid w:val="00AB3226"/>
    <w:rsid w:val="00AB4854"/>
    <w:rsid w:val="00AB7435"/>
    <w:rsid w:val="00AC6E87"/>
    <w:rsid w:val="00AC6F5A"/>
    <w:rsid w:val="00AC7EFF"/>
    <w:rsid w:val="00AD4D0D"/>
    <w:rsid w:val="00AE2CFB"/>
    <w:rsid w:val="00B0089B"/>
    <w:rsid w:val="00B03B26"/>
    <w:rsid w:val="00B04767"/>
    <w:rsid w:val="00B05923"/>
    <w:rsid w:val="00B12D0A"/>
    <w:rsid w:val="00B15107"/>
    <w:rsid w:val="00B17DD0"/>
    <w:rsid w:val="00B27B0E"/>
    <w:rsid w:val="00B3240D"/>
    <w:rsid w:val="00B344DF"/>
    <w:rsid w:val="00B36DB2"/>
    <w:rsid w:val="00B50F84"/>
    <w:rsid w:val="00B519B6"/>
    <w:rsid w:val="00B52005"/>
    <w:rsid w:val="00B52B9B"/>
    <w:rsid w:val="00B6631E"/>
    <w:rsid w:val="00B7110D"/>
    <w:rsid w:val="00B719DC"/>
    <w:rsid w:val="00B7221E"/>
    <w:rsid w:val="00B75448"/>
    <w:rsid w:val="00B759F0"/>
    <w:rsid w:val="00B76641"/>
    <w:rsid w:val="00B81B0C"/>
    <w:rsid w:val="00B81F93"/>
    <w:rsid w:val="00B85971"/>
    <w:rsid w:val="00B91649"/>
    <w:rsid w:val="00B95D96"/>
    <w:rsid w:val="00B96E08"/>
    <w:rsid w:val="00BA191B"/>
    <w:rsid w:val="00BA19C6"/>
    <w:rsid w:val="00BA47A2"/>
    <w:rsid w:val="00BA6D33"/>
    <w:rsid w:val="00BB7DA2"/>
    <w:rsid w:val="00BC031E"/>
    <w:rsid w:val="00BC3EEC"/>
    <w:rsid w:val="00BC5B71"/>
    <w:rsid w:val="00BD01C3"/>
    <w:rsid w:val="00BD3CF5"/>
    <w:rsid w:val="00BD475F"/>
    <w:rsid w:val="00BD48C7"/>
    <w:rsid w:val="00BE0C32"/>
    <w:rsid w:val="00BE2678"/>
    <w:rsid w:val="00BF4D07"/>
    <w:rsid w:val="00C0123D"/>
    <w:rsid w:val="00C02FDF"/>
    <w:rsid w:val="00C11285"/>
    <w:rsid w:val="00C11460"/>
    <w:rsid w:val="00C11DDE"/>
    <w:rsid w:val="00C13DFF"/>
    <w:rsid w:val="00C144AA"/>
    <w:rsid w:val="00C176C1"/>
    <w:rsid w:val="00C23708"/>
    <w:rsid w:val="00C245E8"/>
    <w:rsid w:val="00C26763"/>
    <w:rsid w:val="00C31DEF"/>
    <w:rsid w:val="00C3389D"/>
    <w:rsid w:val="00C35D22"/>
    <w:rsid w:val="00C36193"/>
    <w:rsid w:val="00C37761"/>
    <w:rsid w:val="00C37AC2"/>
    <w:rsid w:val="00C4008F"/>
    <w:rsid w:val="00C461D2"/>
    <w:rsid w:val="00C4719E"/>
    <w:rsid w:val="00C471A9"/>
    <w:rsid w:val="00C51068"/>
    <w:rsid w:val="00C51621"/>
    <w:rsid w:val="00C55D2E"/>
    <w:rsid w:val="00C6380C"/>
    <w:rsid w:val="00C71295"/>
    <w:rsid w:val="00C74D76"/>
    <w:rsid w:val="00C818F8"/>
    <w:rsid w:val="00C81E22"/>
    <w:rsid w:val="00C85BFD"/>
    <w:rsid w:val="00C87304"/>
    <w:rsid w:val="00C87AFF"/>
    <w:rsid w:val="00C90B37"/>
    <w:rsid w:val="00C930FA"/>
    <w:rsid w:val="00CA047F"/>
    <w:rsid w:val="00CA2239"/>
    <w:rsid w:val="00CB0005"/>
    <w:rsid w:val="00CB3D9E"/>
    <w:rsid w:val="00CB6A55"/>
    <w:rsid w:val="00CC43AF"/>
    <w:rsid w:val="00CD068C"/>
    <w:rsid w:val="00CD3AE3"/>
    <w:rsid w:val="00CE2A96"/>
    <w:rsid w:val="00CE4E44"/>
    <w:rsid w:val="00CE5AB0"/>
    <w:rsid w:val="00CE6636"/>
    <w:rsid w:val="00CF268E"/>
    <w:rsid w:val="00CF2921"/>
    <w:rsid w:val="00CF7BF6"/>
    <w:rsid w:val="00D054F2"/>
    <w:rsid w:val="00D05DB9"/>
    <w:rsid w:val="00D11F17"/>
    <w:rsid w:val="00D21FC6"/>
    <w:rsid w:val="00D22743"/>
    <w:rsid w:val="00D26C8B"/>
    <w:rsid w:val="00D3155D"/>
    <w:rsid w:val="00D31B1F"/>
    <w:rsid w:val="00D324AC"/>
    <w:rsid w:val="00D3392B"/>
    <w:rsid w:val="00D3620D"/>
    <w:rsid w:val="00D375DD"/>
    <w:rsid w:val="00D400FD"/>
    <w:rsid w:val="00D42A6E"/>
    <w:rsid w:val="00D43515"/>
    <w:rsid w:val="00D44DEC"/>
    <w:rsid w:val="00D44DEF"/>
    <w:rsid w:val="00D5257B"/>
    <w:rsid w:val="00D60738"/>
    <w:rsid w:val="00D62019"/>
    <w:rsid w:val="00D6648D"/>
    <w:rsid w:val="00D71EBA"/>
    <w:rsid w:val="00D71F6F"/>
    <w:rsid w:val="00D72788"/>
    <w:rsid w:val="00D81338"/>
    <w:rsid w:val="00D850A7"/>
    <w:rsid w:val="00D86BDF"/>
    <w:rsid w:val="00D920DF"/>
    <w:rsid w:val="00D93544"/>
    <w:rsid w:val="00D9409F"/>
    <w:rsid w:val="00D94167"/>
    <w:rsid w:val="00D94602"/>
    <w:rsid w:val="00D9537C"/>
    <w:rsid w:val="00D96983"/>
    <w:rsid w:val="00D96FDC"/>
    <w:rsid w:val="00D97545"/>
    <w:rsid w:val="00DA048A"/>
    <w:rsid w:val="00DA0E8D"/>
    <w:rsid w:val="00DA2B98"/>
    <w:rsid w:val="00DA3679"/>
    <w:rsid w:val="00DA65B4"/>
    <w:rsid w:val="00DB487C"/>
    <w:rsid w:val="00DB4D30"/>
    <w:rsid w:val="00DC1551"/>
    <w:rsid w:val="00DC1A92"/>
    <w:rsid w:val="00DC3F97"/>
    <w:rsid w:val="00DC686A"/>
    <w:rsid w:val="00DD0705"/>
    <w:rsid w:val="00DD0812"/>
    <w:rsid w:val="00DD0CFA"/>
    <w:rsid w:val="00DD4F3C"/>
    <w:rsid w:val="00DD7C17"/>
    <w:rsid w:val="00DE0004"/>
    <w:rsid w:val="00DE0E43"/>
    <w:rsid w:val="00DE4AAC"/>
    <w:rsid w:val="00DE7D26"/>
    <w:rsid w:val="00DF36F4"/>
    <w:rsid w:val="00E023A0"/>
    <w:rsid w:val="00E02E51"/>
    <w:rsid w:val="00E034BF"/>
    <w:rsid w:val="00E0654C"/>
    <w:rsid w:val="00E1152D"/>
    <w:rsid w:val="00E11690"/>
    <w:rsid w:val="00E129A3"/>
    <w:rsid w:val="00E12D0D"/>
    <w:rsid w:val="00E14772"/>
    <w:rsid w:val="00E165CC"/>
    <w:rsid w:val="00E1682D"/>
    <w:rsid w:val="00E236B0"/>
    <w:rsid w:val="00E262DD"/>
    <w:rsid w:val="00E30C0F"/>
    <w:rsid w:val="00E3349C"/>
    <w:rsid w:val="00E34A58"/>
    <w:rsid w:val="00E355A5"/>
    <w:rsid w:val="00E37960"/>
    <w:rsid w:val="00E444AD"/>
    <w:rsid w:val="00E44A25"/>
    <w:rsid w:val="00E451AF"/>
    <w:rsid w:val="00E56D76"/>
    <w:rsid w:val="00E62117"/>
    <w:rsid w:val="00E62361"/>
    <w:rsid w:val="00E743B6"/>
    <w:rsid w:val="00E7470B"/>
    <w:rsid w:val="00E74A25"/>
    <w:rsid w:val="00E74D49"/>
    <w:rsid w:val="00E75DD9"/>
    <w:rsid w:val="00E77ADA"/>
    <w:rsid w:val="00E822CF"/>
    <w:rsid w:val="00E8231F"/>
    <w:rsid w:val="00E82782"/>
    <w:rsid w:val="00E8674B"/>
    <w:rsid w:val="00E869D0"/>
    <w:rsid w:val="00EA0D19"/>
    <w:rsid w:val="00EA55DC"/>
    <w:rsid w:val="00EB20D4"/>
    <w:rsid w:val="00EB2602"/>
    <w:rsid w:val="00EB28E4"/>
    <w:rsid w:val="00EB4195"/>
    <w:rsid w:val="00EB4540"/>
    <w:rsid w:val="00EB4768"/>
    <w:rsid w:val="00EC09AF"/>
    <w:rsid w:val="00ED0468"/>
    <w:rsid w:val="00ED4139"/>
    <w:rsid w:val="00ED4EE4"/>
    <w:rsid w:val="00EE7276"/>
    <w:rsid w:val="00EF036D"/>
    <w:rsid w:val="00EF5203"/>
    <w:rsid w:val="00EF5F2F"/>
    <w:rsid w:val="00F04F0B"/>
    <w:rsid w:val="00F05EE7"/>
    <w:rsid w:val="00F11451"/>
    <w:rsid w:val="00F1554C"/>
    <w:rsid w:val="00F1610C"/>
    <w:rsid w:val="00F212E7"/>
    <w:rsid w:val="00F22828"/>
    <w:rsid w:val="00F23EC6"/>
    <w:rsid w:val="00F259B8"/>
    <w:rsid w:val="00F27E47"/>
    <w:rsid w:val="00F30ED3"/>
    <w:rsid w:val="00F33C59"/>
    <w:rsid w:val="00F374AB"/>
    <w:rsid w:val="00F42478"/>
    <w:rsid w:val="00F439B8"/>
    <w:rsid w:val="00F45B6A"/>
    <w:rsid w:val="00F50A7F"/>
    <w:rsid w:val="00F547C5"/>
    <w:rsid w:val="00F622FB"/>
    <w:rsid w:val="00F70720"/>
    <w:rsid w:val="00F740E1"/>
    <w:rsid w:val="00F75E8D"/>
    <w:rsid w:val="00F8029D"/>
    <w:rsid w:val="00F811BF"/>
    <w:rsid w:val="00F82616"/>
    <w:rsid w:val="00F832AD"/>
    <w:rsid w:val="00F91074"/>
    <w:rsid w:val="00F91AE8"/>
    <w:rsid w:val="00F9525A"/>
    <w:rsid w:val="00F96AC0"/>
    <w:rsid w:val="00F97BBB"/>
    <w:rsid w:val="00FA0263"/>
    <w:rsid w:val="00FA233E"/>
    <w:rsid w:val="00FA472E"/>
    <w:rsid w:val="00FA4BF9"/>
    <w:rsid w:val="00FA526E"/>
    <w:rsid w:val="00FB2A32"/>
    <w:rsid w:val="00FB3199"/>
    <w:rsid w:val="00FB424C"/>
    <w:rsid w:val="00FB5B42"/>
    <w:rsid w:val="00FB69DB"/>
    <w:rsid w:val="00FE211C"/>
    <w:rsid w:val="00FE23CA"/>
    <w:rsid w:val="00FE245D"/>
    <w:rsid w:val="00FE3995"/>
    <w:rsid w:val="00FF22B9"/>
    <w:rsid w:val="00FF7DB1"/>
    <w:rsid w:val="017E387C"/>
    <w:rsid w:val="026F5933"/>
    <w:rsid w:val="032E79BD"/>
    <w:rsid w:val="03832CC2"/>
    <w:rsid w:val="062D4445"/>
    <w:rsid w:val="073B1772"/>
    <w:rsid w:val="0779499F"/>
    <w:rsid w:val="08076513"/>
    <w:rsid w:val="082224BC"/>
    <w:rsid w:val="08776DE4"/>
    <w:rsid w:val="09F433A9"/>
    <w:rsid w:val="0AB97DD5"/>
    <w:rsid w:val="0B122C7F"/>
    <w:rsid w:val="0B504D4C"/>
    <w:rsid w:val="0B785761"/>
    <w:rsid w:val="0DE96EB9"/>
    <w:rsid w:val="100019F6"/>
    <w:rsid w:val="10400EC5"/>
    <w:rsid w:val="13B650AB"/>
    <w:rsid w:val="14576EED"/>
    <w:rsid w:val="153130BA"/>
    <w:rsid w:val="156F2374"/>
    <w:rsid w:val="17B24149"/>
    <w:rsid w:val="18B50A00"/>
    <w:rsid w:val="18F86372"/>
    <w:rsid w:val="19A04016"/>
    <w:rsid w:val="1AAE7C8D"/>
    <w:rsid w:val="1C0707C6"/>
    <w:rsid w:val="1ECA6EDB"/>
    <w:rsid w:val="1F7643D0"/>
    <w:rsid w:val="2005370B"/>
    <w:rsid w:val="20DA7C4E"/>
    <w:rsid w:val="21D57C97"/>
    <w:rsid w:val="22E43EF6"/>
    <w:rsid w:val="23CA01AF"/>
    <w:rsid w:val="249E590D"/>
    <w:rsid w:val="25785633"/>
    <w:rsid w:val="266B63F1"/>
    <w:rsid w:val="29107D5C"/>
    <w:rsid w:val="2917338D"/>
    <w:rsid w:val="2A4B7A28"/>
    <w:rsid w:val="2AB54C92"/>
    <w:rsid w:val="2ACC7D4C"/>
    <w:rsid w:val="2BEC2FBC"/>
    <w:rsid w:val="2C5D361C"/>
    <w:rsid w:val="2D006086"/>
    <w:rsid w:val="2ED85171"/>
    <w:rsid w:val="2EDF2B91"/>
    <w:rsid w:val="2F304507"/>
    <w:rsid w:val="345237D9"/>
    <w:rsid w:val="34A119E2"/>
    <w:rsid w:val="38B605D6"/>
    <w:rsid w:val="3B43005F"/>
    <w:rsid w:val="3C09549E"/>
    <w:rsid w:val="3CFF4CDC"/>
    <w:rsid w:val="3D277F75"/>
    <w:rsid w:val="3D432D82"/>
    <w:rsid w:val="3D9D4457"/>
    <w:rsid w:val="3D9F7663"/>
    <w:rsid w:val="3DAF5BE0"/>
    <w:rsid w:val="3E2533D5"/>
    <w:rsid w:val="3F2B478E"/>
    <w:rsid w:val="3F677682"/>
    <w:rsid w:val="3F935574"/>
    <w:rsid w:val="40350D1F"/>
    <w:rsid w:val="405F6B40"/>
    <w:rsid w:val="412D4AA8"/>
    <w:rsid w:val="41DF6906"/>
    <w:rsid w:val="41EE21A9"/>
    <w:rsid w:val="4245302D"/>
    <w:rsid w:val="42A96CBE"/>
    <w:rsid w:val="43D51464"/>
    <w:rsid w:val="442D5E60"/>
    <w:rsid w:val="45397063"/>
    <w:rsid w:val="472E2555"/>
    <w:rsid w:val="4A614772"/>
    <w:rsid w:val="4C480686"/>
    <w:rsid w:val="4C5C3CF4"/>
    <w:rsid w:val="4C731C9F"/>
    <w:rsid w:val="4C792B02"/>
    <w:rsid w:val="4CE44C3C"/>
    <w:rsid w:val="4DE476C5"/>
    <w:rsid w:val="4F8422ED"/>
    <w:rsid w:val="4FDA7776"/>
    <w:rsid w:val="5016111F"/>
    <w:rsid w:val="508A177D"/>
    <w:rsid w:val="50C51DA1"/>
    <w:rsid w:val="517F2120"/>
    <w:rsid w:val="527E6C15"/>
    <w:rsid w:val="5325407D"/>
    <w:rsid w:val="541E1261"/>
    <w:rsid w:val="545562CA"/>
    <w:rsid w:val="546F1F01"/>
    <w:rsid w:val="560A7214"/>
    <w:rsid w:val="57864D10"/>
    <w:rsid w:val="57BF6E64"/>
    <w:rsid w:val="583235A5"/>
    <w:rsid w:val="586E58C1"/>
    <w:rsid w:val="5A483979"/>
    <w:rsid w:val="5A923DFC"/>
    <w:rsid w:val="5AE06603"/>
    <w:rsid w:val="5BC52A53"/>
    <w:rsid w:val="5C4046C9"/>
    <w:rsid w:val="5E9571CB"/>
    <w:rsid w:val="60124485"/>
    <w:rsid w:val="603C6415"/>
    <w:rsid w:val="62897651"/>
    <w:rsid w:val="64AF5C07"/>
    <w:rsid w:val="652D5C67"/>
    <w:rsid w:val="65922541"/>
    <w:rsid w:val="65BF006F"/>
    <w:rsid w:val="65C2213D"/>
    <w:rsid w:val="66BD6EF2"/>
    <w:rsid w:val="676564BD"/>
    <w:rsid w:val="689042B9"/>
    <w:rsid w:val="698A5C39"/>
    <w:rsid w:val="69DE2EF4"/>
    <w:rsid w:val="6A292CB8"/>
    <w:rsid w:val="6B786D9E"/>
    <w:rsid w:val="6C385331"/>
    <w:rsid w:val="6C444B7C"/>
    <w:rsid w:val="6D216F80"/>
    <w:rsid w:val="6D2B3F7A"/>
    <w:rsid w:val="6D56533A"/>
    <w:rsid w:val="6DE642D0"/>
    <w:rsid w:val="6DE7217E"/>
    <w:rsid w:val="6E8E3613"/>
    <w:rsid w:val="6EF61F0E"/>
    <w:rsid w:val="6EFD324F"/>
    <w:rsid w:val="711B2256"/>
    <w:rsid w:val="727E262D"/>
    <w:rsid w:val="77372125"/>
    <w:rsid w:val="775001C0"/>
    <w:rsid w:val="7987378D"/>
    <w:rsid w:val="79E2759C"/>
    <w:rsid w:val="7A2B5AE0"/>
    <w:rsid w:val="7BC225EB"/>
    <w:rsid w:val="7BF94BD4"/>
    <w:rsid w:val="7DB4775D"/>
    <w:rsid w:val="7F7A25BC"/>
    <w:rsid w:val="7FF97007"/>
    <w:rsid w:val="7FFB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3">
    <w:name w:val="No Spacing1"/>
    <w:basedOn w:val="1"/>
    <w:qFormat/>
    <w:uiPriority w:val="0"/>
    <w:pPr>
      <w:spacing w:line="240" w:lineRule="auto"/>
      <w:ind w:firstLine="0" w:firstLineChars="0"/>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40F7C-60EE-48AC-857F-9FA16441A84D}">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14</Pages>
  <Words>939</Words>
  <Characters>5354</Characters>
  <Lines>44</Lines>
  <Paragraphs>12</Paragraphs>
  <TotalTime>7</TotalTime>
  <ScaleCrop>false</ScaleCrop>
  <LinksUpToDate>false</LinksUpToDate>
  <CharactersWithSpaces>6281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2019-01-23T10:20:00Z</dcterms:created>
  <dc:creator>Yuanyuan</dc:creator>
  <cp:lastModifiedBy>lenovo</cp:lastModifiedBy>
  <cp:lastPrinted>2019-04-04T06:38:00Z</cp:lastPrinted>
  <dcterms:modified xsi:type="dcterms:W3CDTF">2019-04-04T11:08:45Z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