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附件3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  <w:lang w:eastAsia="zh-CN"/>
        </w:rPr>
        <w:t>纸质合同注意事项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审核通过的合同有水印；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打印一式四份，要求双面打印；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合同第6页需法人、项目责任人签字，盖公章；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附件五需法人签字，盖公章；</w:t>
      </w:r>
    </w:p>
    <w:p>
      <w:pPr>
        <w:numPr>
          <w:ilvl w:val="0"/>
          <w:numId w:val="1"/>
        </w:num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合同加盖骑缝章。</w:t>
      </w:r>
    </w:p>
    <w:p>
      <w:pPr>
        <w:numPr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A13B7"/>
    <w:multiLevelType w:val="singleLevel"/>
    <w:tmpl w:val="0FAA13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D6890"/>
    <w:rsid w:val="0D216BBB"/>
    <w:rsid w:val="1EFE2442"/>
    <w:rsid w:val="4413167D"/>
    <w:rsid w:val="4D2D68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nz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2018-07-19T09:26:00Z</dcterms:created>
  <dc:creator>WPS_1528186540</dc:creator>
  <cp:lastModifiedBy>WPS_1528186540</cp:lastModifiedBy>
  <dcterms:modified xsi:type="dcterms:W3CDTF">2019-04-22T06:52:31Z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