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仿宋" w:hAnsi="仿宋" w:eastAsia="仿宋"/>
          <w:b/>
          <w:color w:val="000000"/>
          <w:sz w:val="32"/>
          <w:szCs w:val="32"/>
        </w:rPr>
      </w:pPr>
      <w:r>
        <w:rPr>
          <w:rFonts w:hint="eastAsia" w:ascii="仿宋" w:hAnsi="仿宋" w:eastAsia="仿宋"/>
          <w:b/>
          <w:color w:val="000000"/>
          <w:sz w:val="32"/>
          <w:szCs w:val="32"/>
        </w:rPr>
        <w:t>宝安区高层次人才拟认定人选公示名单（20</w:t>
      </w:r>
      <w:r>
        <w:rPr>
          <w:rFonts w:hint="eastAsia" w:ascii="仿宋" w:hAnsi="仿宋" w:eastAsia="仿宋"/>
          <w:b/>
          <w:color w:val="000000"/>
          <w:sz w:val="32"/>
          <w:szCs w:val="32"/>
          <w:lang w:val="en-US" w:eastAsia="zh-CN"/>
        </w:rPr>
        <w:t>20</w:t>
      </w:r>
      <w:r>
        <w:rPr>
          <w:rFonts w:hint="eastAsia" w:ascii="仿宋" w:hAnsi="仿宋" w:eastAsia="仿宋"/>
          <w:b/>
          <w:color w:val="000000"/>
          <w:sz w:val="32"/>
          <w:szCs w:val="32"/>
        </w:rPr>
        <w:t>年第</w:t>
      </w:r>
      <w:r>
        <w:rPr>
          <w:rFonts w:hint="eastAsia" w:ascii="仿宋" w:hAnsi="仿宋" w:eastAsia="仿宋"/>
          <w:b/>
          <w:color w:val="000000"/>
          <w:sz w:val="32"/>
          <w:szCs w:val="32"/>
          <w:lang w:eastAsia="zh-CN"/>
        </w:rPr>
        <w:t>五</w:t>
      </w:r>
      <w:r>
        <w:rPr>
          <w:rFonts w:hint="eastAsia" w:ascii="仿宋" w:hAnsi="仿宋" w:eastAsia="仿宋"/>
          <w:b/>
          <w:color w:val="000000"/>
          <w:sz w:val="32"/>
          <w:szCs w:val="32"/>
        </w:rPr>
        <w:t>批）</w:t>
      </w:r>
    </w:p>
    <w:tbl>
      <w:tblPr>
        <w:tblStyle w:val="5"/>
        <w:tblW w:w="91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70"/>
        <w:gridCol w:w="1185"/>
        <w:gridCol w:w="2640"/>
        <w:gridCol w:w="44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99" w:hRule="atLeast"/>
        </w:trPr>
        <w:tc>
          <w:tcPr>
            <w:tcW w:w="915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宝安区高层次产业类人才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序号</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姓名</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工作单位</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所符合的认定条件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杨华</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深圳市海明润超硬材料股份有限公司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在高新技术产业领域，拥有 5 件及以上发明专利或通过 PCT 申请并获得 2 件及以上国际专利，且均为前二位的完成人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沈芾云</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鹏鼎控股（深圳）股份有限公司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在高新技术产业领域，拥有 5 件及以上发明专利或通过 PCT 申请并获得 2 件及以上国际专利，且均为前二位的完成人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刘瑞武</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鹏鼎控股（深圳）股份有限公司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在高新技术产业领域，拥有 5 件及以上发明专利或通过 PCT 申请并获得 2 件及以上国际专利，且均为前二位的完成人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李彪</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鹏鼎控股（深圳）股份有限公司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在高新技术产业领域，拥有 5 件及以上发明专利或通过 PCT 申请并获得 2 件及以上国际专</w:t>
            </w:r>
            <w:bookmarkStart w:id="0" w:name="_GoBack"/>
            <w:bookmarkEnd w:id="0"/>
            <w:r>
              <w:rPr>
                <w:rFonts w:hint="eastAsia" w:ascii="仿宋" w:hAnsi="仿宋" w:eastAsia="仿宋" w:cs="仿宋"/>
                <w:i w:val="0"/>
                <w:color w:val="000000"/>
                <w:kern w:val="0"/>
                <w:sz w:val="28"/>
                <w:szCs w:val="28"/>
                <w:u w:val="none"/>
                <w:lang w:val="en-US" w:eastAsia="zh-CN" w:bidi="ar"/>
              </w:rPr>
              <w:t>利，且均为前二位的完成人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王飞蓉</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深圳名飞远科技有限公司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在高新技术产业领域，拥有 5 件及以上发明专利或通过 PCT 申请并获得 2 件及以上国际专利，且均为前二位的完成人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王茂林</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林东智能科技（深圳）有限公司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在高新技术产业领域，拥有 5 件及以上发明专利或通过 PCT 申请并获得 2 件及以上国际专利，且均为前二位的完成人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黄棣巍</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宏伟建设工程股份有限公司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拥有国际或国内发明专利，且年纳税额 300 万元及以上的国家级高新技术企业首席技术专家或研发负责人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8</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周志勇</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百汇精密塑胶模具（深圳）有限公司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拥有国际或国内发明专利，且年纳税额 300 万元及以上的国家级高新技术企业首席技术专家或研发负责人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9</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左锋卫</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深圳市北诚自动化设备有限公司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在高新技术产业领域，拥有 5 件及以上发明专利或通过 PCT 申请并获得 2 件及以上国际专利，且均为前二位的完成人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吕根兴</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深圳市鼎盛精密工业有限公司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在高新技术产业领域，拥有 5 件及以上发明专利或通过 PCT 申请并获得 2 件及以上国际专利，且均为前二位的完成人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梁吉玉</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广东德昌电机有限公司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在高新技术产业领域，拥有 5 件及以上发明专利或通过 PCT 申请并获得 2 件及以上国际专利，且均为前二位的完成人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12</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王锋</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深圳市慧能互联科技有限公司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国际国内标准化专业技术委员会、分技术委员会或工作组的委员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13</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任军民</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深圳市标利科技开发有限公司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国际国内标准化专业技术委员会、分技术委员会或工作组的委员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14</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周旭鑫</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深圳市鼎阳科技股份有限公司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在高新技术产业领域，拥有 5 件及以上发明专利或通过 PCT 申请并获得 2 件及以上国际专利，且均为前二位的完成人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15</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赵宇宁</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华测检测认证集团股份有限公司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在基础科学、工程科技、生物科技、医药科技、信息科技等专业领域，具有正高级专业技术资格或具有全日制博士学历学位且在宝安区国家级高新技术企业从事科技研发工作满 1 年的人员。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915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宝安区高层次教育类人才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16</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宋雪</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深圳市宝安区航城学校</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符合教育类第6条：副省级城市及以上政府或教育行政部门授予或评定的名校长、名师，或校长、教师类工作室主持人（注：“名师”包括“名教师、教科研专家、名班主任”等）。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17</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夏益中</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深圳市宝安职业技术学校（宝安职教集团第一校区）</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符合教育类第6条：副省级城市及以上政府或教育行政部门授予或评定的名校长、名师，或校长、教师类工作室主持人（注：“名师”包括“名教师、教科研专家、名班主任”等）。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18</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张敬民</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新安中学（集团）第一实验学校</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符合教育类第7条：获得省级教育行政主管部门授予的优秀教师、优秀班主任荣誉称号的，且具有副高级专业技术资格的人员。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915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宝安区高层次卫生类人才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19</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鲁栋梁</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南方医科大学深圳医院</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在三甲医院或地市级以上公共卫生机构工作满三年、具备全日制博士学历学位且取得中级及以上专业技术资格的人才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冯惠仪</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南方医科大学深圳医院</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45周岁以下，取得经认定的国（境）外博士学历学位留学人员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鲁虹霞</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宝安区人民医院</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50周岁以下，具有正高级专业技术资格的人员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22</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曾志聪</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宝安中医院（集团）</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50周岁以下，具有正高级专业技术资格的人员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23</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陈水文</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宝安区妇幼保健院</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50周岁以下，具有正高级专业技术资格的人员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24</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陈瑞瑞</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宝安区妇幼保健院</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取得经认定的国（境）外博士学历学位留学人员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25</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王启章</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深圳市中西医结合医院（原沙井人民医院）</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50周岁以下，具有正高级专业技术资格的人员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26</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李雪莲</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深圳市中西医结合医院（原沙井人民医院）</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50周岁以下，具有正高级专业技术资格的人员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27</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窦宇红</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深圳市中西医结合医院（原沙井人民医院）</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50周岁以下，具有正高级专业技术资格的人员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28</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郭珲</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宝安区石岩人民医院</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高等医学院校直属附属医院或省级卫生部门直属医院博士生导师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29</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黄莉</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宝安区慢性病防治院</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40周岁以下，具有全日制博士学历学位的人员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郭艳芳</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宝安区慢性病防治院</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50周岁以下，具有正高级专业技术资格的人员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915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宝安区高层次综合类人才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文艺</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深圳市超思维电子股份有限公司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经认定且在任期内的深圳市高层次专业人才（地方级）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32</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宋汝渊</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深圳达普生物科技有限公司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经认定且在任期内的深圳市高层次专业人才（地方级）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33</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吴文平</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深圳市优信达通讯技术有限公司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经认定且在任期内的深圳市高层次专业人才（地方级）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34</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许潇楠</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深圳达普生物科技有限公司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经认定且在任期内的深圳市高层次专业人才（地方级）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35</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蒋柏娴</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深圳市砝石激光雷达有限公司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经认定且在任期内的深圳市高层次专业人才（地方级）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36</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谢仕梅</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深圳市鲸舟信息咨询服务有限公司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经认定且在任期内的深圳市高层次专业人才（地方级）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37</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杨振英</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深圳市美信检测技术股份有限公司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经认定且在任期内的深圳市高层次专业人才（地方级）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38</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王慧元</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深圳创宏智控技术有限公司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经认定且在任期内的深圳市高层次专业人才（地方级）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39</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王麟</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深圳市通久电子有限公司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经认定且在任期内的深圳市高层次专业人才（地方级）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徐向明</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深圳市信维通信股份有限公司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经认定且在任期内的深圳市高层次专业人才（后备级）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王清媛</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深圳古瑞瓦特新能源股份有限公司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经认定且在任期内的深圳市高层次专业人才（后备级）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42</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刘之尧</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深圳市泰昂能源科技股份有限公司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经认定且在任期内的深圳市高层次专业人才（地方级）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43</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邓世韬</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深圳市昂霸科技有限公司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经认定且在任期内的深圳市高层次专业人才（后备级）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44</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卢禁</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深圳市合元科技有限公司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经认定且在任期内的深圳市高层次专业人才（后备级）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45</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吕铭</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深圳麦克韦尔科技有限公司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经认定且在任期内的深圳市高层次专业人才（后备级）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46</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鲍懋彬</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深圳市杰西时尚设计有限公司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在非社会事业类单位从事一线工作，获得国家级以上技术能手的人员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47</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张明</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深圳中科精诚医学科技有限公司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经认定且在任期内的深圳市高层次专业人才（后备级）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48</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阮世良</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深圳市高斯宝电气技术有限公司</w:t>
            </w:r>
          </w:p>
        </w:tc>
        <w:tc>
          <w:tcPr>
            <w:tcW w:w="4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经认定且在任期内的深圳市高层次专业人才（地方级）</w:t>
            </w:r>
          </w:p>
        </w:tc>
      </w:tr>
    </w:tbl>
    <w:p>
      <w:pPr>
        <w:ind w:firstLine="0" w:firstLineChars="0"/>
        <w:jc w:val="center"/>
        <w:rPr>
          <w:rFonts w:eastAsiaTheme="minorEastAsia"/>
          <w:sz w:val="21"/>
        </w:rPr>
      </w:pPr>
    </w:p>
    <w:sectPr>
      <w:headerReference r:id="rId5" w:type="first"/>
      <w:footerReference r:id="rId8" w:type="first"/>
      <w:headerReference r:id="rId3" w:type="default"/>
      <w:footerReference r:id="rId6" w:type="default"/>
      <w:headerReference r:id="rId4" w:type="even"/>
      <w:footerReference r:id="rId7" w:type="even"/>
      <w:pgSz w:w="11906" w:h="16838"/>
      <w:pgMar w:top="1701" w:right="1474"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B7BD2"/>
    <w:multiLevelType w:val="multilevel"/>
    <w:tmpl w:val="41AB7BD2"/>
    <w:lvl w:ilvl="0" w:tentative="0">
      <w:start w:val="1"/>
      <w:numFmt w:val="chineseCountingThousand"/>
      <w:pStyle w:val="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5A5680C"/>
    <w:multiLevelType w:val="multilevel"/>
    <w:tmpl w:val="55A5680C"/>
    <w:lvl w:ilvl="0" w:tentative="0">
      <w:start w:val="1"/>
      <w:numFmt w:val="decimal"/>
      <w:pStyle w:val="10"/>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76C"/>
    <w:rsid w:val="000B4D2C"/>
    <w:rsid w:val="00115A27"/>
    <w:rsid w:val="001E476C"/>
    <w:rsid w:val="002420B0"/>
    <w:rsid w:val="00310FC6"/>
    <w:rsid w:val="00386B40"/>
    <w:rsid w:val="003E2647"/>
    <w:rsid w:val="006B1D94"/>
    <w:rsid w:val="00814653"/>
    <w:rsid w:val="0082050D"/>
    <w:rsid w:val="00C51EC9"/>
    <w:rsid w:val="00CB2755"/>
    <w:rsid w:val="00CB6AE5"/>
    <w:rsid w:val="00CF6181"/>
    <w:rsid w:val="00E228B0"/>
    <w:rsid w:val="00FF705B"/>
    <w:rsid w:val="10BA5158"/>
    <w:rsid w:val="1C8E3B49"/>
    <w:rsid w:val="3E556AF1"/>
    <w:rsid w:val="471B2A58"/>
    <w:rsid w:val="511E79F4"/>
    <w:rsid w:val="7BAC5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360" w:lineRule="auto"/>
      <w:ind w:firstLine="200" w:firstLineChars="200"/>
      <w:jc w:val="both"/>
    </w:pPr>
    <w:rPr>
      <w:rFonts w:eastAsia="宋体" w:asciiTheme="minorHAnsi" w:hAnsiTheme="minorHAnsi" w:cstheme="minorBidi"/>
      <w:kern w:val="2"/>
      <w:sz w:val="24"/>
      <w:szCs w:val="22"/>
      <w:lang w:val="en-US" w:eastAsia="zh-CN" w:bidi="ar-SA"/>
    </w:rPr>
  </w:style>
  <w:style w:type="paragraph" w:styleId="2">
    <w:name w:val="heading 2"/>
    <w:basedOn w:val="1"/>
    <w:next w:val="1"/>
    <w:link w:val="9"/>
    <w:semiHidden/>
    <w:unhideWhenUsed/>
    <w:qFormat/>
    <w:uiPriority w:val="9"/>
    <w:pPr>
      <w:keepNext/>
      <w:keepLines/>
      <w:outlineLvl w:val="1"/>
    </w:pPr>
    <w:rPr>
      <w:rFonts w:asciiTheme="majorHAnsi" w:hAnsiTheme="majorHAnsi" w:cstheme="majorBidi"/>
      <w:b/>
      <w:bCs/>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3"/>
    <w:unhideWhenUsed/>
    <w:qFormat/>
    <w:uiPriority w:val="99"/>
    <w:pPr>
      <w:tabs>
        <w:tab w:val="center" w:pos="4153"/>
        <w:tab w:val="right" w:pos="8306"/>
      </w:tabs>
      <w:snapToGrid w:val="0"/>
      <w:spacing w:line="240" w:lineRule="auto"/>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customStyle="1" w:styleId="7">
    <w:name w:val="级别一"/>
    <w:basedOn w:val="8"/>
    <w:qFormat/>
    <w:uiPriority w:val="0"/>
    <w:pPr>
      <w:numPr>
        <w:ilvl w:val="0"/>
        <w:numId w:val="1"/>
      </w:numPr>
      <w:ind w:firstLine="0" w:firstLineChars="0"/>
      <w:jc w:val="left"/>
      <w:outlineLvl w:val="0"/>
    </w:pPr>
    <w:rPr>
      <w:rFonts w:ascii="宋体" w:hAnsi="宋体"/>
      <w:b/>
    </w:rPr>
  </w:style>
  <w:style w:type="paragraph" w:styleId="8">
    <w:name w:val="List Paragraph"/>
    <w:basedOn w:val="1"/>
    <w:qFormat/>
    <w:uiPriority w:val="34"/>
    <w:pPr>
      <w:ind w:firstLine="420"/>
    </w:pPr>
  </w:style>
  <w:style w:type="character" w:customStyle="1" w:styleId="9">
    <w:name w:val="标题 2 字符"/>
    <w:basedOn w:val="6"/>
    <w:link w:val="2"/>
    <w:semiHidden/>
    <w:qFormat/>
    <w:uiPriority w:val="9"/>
    <w:rPr>
      <w:rFonts w:eastAsia="宋体" w:asciiTheme="majorHAnsi" w:hAnsiTheme="majorHAnsi" w:cstheme="majorBidi"/>
      <w:b/>
      <w:bCs/>
      <w:sz w:val="24"/>
      <w:szCs w:val="32"/>
    </w:rPr>
  </w:style>
  <w:style w:type="paragraph" w:customStyle="1" w:styleId="10">
    <w:name w:val="级别四"/>
    <w:basedOn w:val="8"/>
    <w:link w:val="11"/>
    <w:qFormat/>
    <w:uiPriority w:val="0"/>
    <w:pPr>
      <w:numPr>
        <w:ilvl w:val="0"/>
        <w:numId w:val="2"/>
      </w:numPr>
      <w:adjustRightInd w:val="0"/>
      <w:snapToGrid w:val="0"/>
      <w:ind w:left="420" w:hanging="420" w:firstLineChars="0"/>
      <w:outlineLvl w:val="3"/>
    </w:pPr>
    <w:rPr>
      <w:b/>
      <w:szCs w:val="24"/>
    </w:rPr>
  </w:style>
  <w:style w:type="character" w:customStyle="1" w:styleId="11">
    <w:name w:val="级别四 字符"/>
    <w:basedOn w:val="6"/>
    <w:link w:val="10"/>
    <w:qFormat/>
    <w:uiPriority w:val="0"/>
    <w:rPr>
      <w:rFonts w:eastAsia="宋体"/>
      <w:b/>
      <w:sz w:val="24"/>
      <w:szCs w:val="24"/>
    </w:rPr>
  </w:style>
  <w:style w:type="character" w:customStyle="1" w:styleId="12">
    <w:name w:val="页眉 字符"/>
    <w:basedOn w:val="6"/>
    <w:link w:val="4"/>
    <w:qFormat/>
    <w:uiPriority w:val="99"/>
    <w:rPr>
      <w:rFonts w:eastAsia="宋体"/>
      <w:sz w:val="18"/>
      <w:szCs w:val="18"/>
    </w:rPr>
  </w:style>
  <w:style w:type="character" w:customStyle="1" w:styleId="13">
    <w:name w:val="页脚 字符"/>
    <w:basedOn w:val="6"/>
    <w:link w:val="3"/>
    <w:qFormat/>
    <w:uiPriority w:val="99"/>
    <w:rPr>
      <w:rFonts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32</Words>
  <Characters>186</Characters>
  <Lines>1</Lines>
  <Paragraphs>1</Paragraphs>
  <TotalTime>25</TotalTime>
  <ScaleCrop>false</ScaleCrop>
  <LinksUpToDate>false</LinksUpToDate>
  <CharactersWithSpaces>217</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2018-10-28T13:08:00Z</dcterms:created>
  <dc:creator>小津映画</dc:creator>
  <cp:lastModifiedBy>NTKO</cp:lastModifiedBy>
  <dcterms:modified xsi:type="dcterms:W3CDTF">2020-04-13T06:36:22Z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