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Layout w:type="fixed"/>
        <w:tblCellMar>
          <w:top w:w="0" w:type="dxa"/>
          <w:left w:w="108" w:type="dxa"/>
          <w:bottom w:w="0" w:type="dxa"/>
          <w:right w:w="108" w:type="dxa"/>
        </w:tblCellMar>
      </w:tblPr>
      <w:tblGrid>
        <w:gridCol w:w="649"/>
        <w:gridCol w:w="3174"/>
        <w:gridCol w:w="7593"/>
        <w:gridCol w:w="2122"/>
      </w:tblGrid>
      <w:tr>
        <w:tblPrEx>
          <w:tblCellMar>
            <w:top w:w="0" w:type="dxa"/>
            <w:left w:w="108" w:type="dxa"/>
            <w:bottom w:w="0" w:type="dxa"/>
            <w:right w:w="108" w:type="dxa"/>
          </w:tblCellMar>
        </w:tblPrEx>
        <w:trPr>
          <w:trHeight w:val="1099" w:hRule="atLeast"/>
        </w:trPr>
        <w:tc>
          <w:tcPr>
            <w:tcW w:w="13538" w:type="dxa"/>
            <w:gridSpan w:val="4"/>
            <w:tcBorders>
              <w:top w:val="nil"/>
              <w:left w:val="nil"/>
              <w:bottom w:val="single" w:color="auto" w:sz="8" w:space="0"/>
              <w:right w:val="nil"/>
            </w:tcBorders>
            <w:noWrap w:val="0"/>
            <w:vAlign w:val="top"/>
          </w:tcPr>
          <w:p>
            <w:pPr>
              <w:pStyle w:val="7"/>
              <w:ind w:left="0" w:firstLine="0" w:firstLineChars="0"/>
              <w:rPr>
                <w:rFonts w:hint="eastAsia"/>
                <w:kern w:val="0"/>
              </w:rPr>
            </w:pPr>
            <w:r>
              <w:rPr>
                <w:rFonts w:hint="eastAsia"/>
                <w:kern w:val="0"/>
              </w:rPr>
              <w:t>附件</w:t>
            </w:r>
          </w:p>
          <w:p>
            <w:pPr>
              <w:pStyle w:val="2"/>
              <w:rPr>
                <w:rFonts w:hint="eastAsia"/>
                <w:kern w:val="0"/>
              </w:rPr>
            </w:pPr>
            <w:r>
              <w:rPr>
                <w:rFonts w:hint="eastAsia"/>
                <w:kern w:val="0"/>
              </w:rPr>
              <w:t>2020年度战略性新兴产业专项资金绿色低碳扶持计划</w:t>
            </w:r>
          </w:p>
          <w:p>
            <w:pPr>
              <w:pStyle w:val="2"/>
              <w:rPr>
                <w:b/>
                <w:bCs/>
                <w:kern w:val="0"/>
                <w:sz w:val="20"/>
                <w:szCs w:val="20"/>
              </w:rPr>
            </w:pPr>
            <w:r>
              <w:rPr>
                <w:rFonts w:hint="eastAsia"/>
                <w:kern w:val="0"/>
              </w:rPr>
              <w:t>第一批资助项目计划</w:t>
            </w:r>
          </w:p>
        </w:tc>
      </w:tr>
      <w:tr>
        <w:tblPrEx>
          <w:tblCellMar>
            <w:top w:w="0" w:type="dxa"/>
            <w:left w:w="108" w:type="dxa"/>
            <w:bottom w:w="0" w:type="dxa"/>
            <w:right w:w="108" w:type="dxa"/>
          </w:tblCellMar>
        </w:tblPrEx>
        <w:trPr>
          <w:trHeight w:val="567" w:hRule="atLeast"/>
        </w:trPr>
        <w:tc>
          <w:tcPr>
            <w:tcW w:w="13538" w:type="dxa"/>
            <w:gridSpan w:val="4"/>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新能源</w:t>
            </w:r>
          </w:p>
        </w:tc>
      </w:tr>
      <w:tr>
        <w:tblPrEx>
          <w:tblCellMar>
            <w:top w:w="0" w:type="dxa"/>
            <w:left w:w="108" w:type="dxa"/>
            <w:bottom w:w="0" w:type="dxa"/>
            <w:right w:w="108" w:type="dxa"/>
          </w:tblCellMar>
        </w:tblPrEx>
        <w:trPr>
          <w:trHeight w:val="567" w:hRule="atLeast"/>
        </w:trPr>
        <w:tc>
          <w:tcPr>
            <w:tcW w:w="13538" w:type="dxa"/>
            <w:gridSpan w:val="4"/>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产业链关键环节提升扶持计划</w:t>
            </w:r>
          </w:p>
        </w:tc>
      </w:tr>
      <w:tr>
        <w:tblPrEx>
          <w:tblCellMar>
            <w:top w:w="0" w:type="dxa"/>
            <w:left w:w="108" w:type="dxa"/>
            <w:bottom w:w="0" w:type="dxa"/>
            <w:right w:w="108" w:type="dxa"/>
          </w:tblCellMar>
        </w:tblPrEx>
        <w:trPr>
          <w:trHeight w:val="573" w:hRule="atLeast"/>
        </w:trPr>
        <w:tc>
          <w:tcPr>
            <w:tcW w:w="64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序号</w:t>
            </w:r>
          </w:p>
        </w:tc>
        <w:tc>
          <w:tcPr>
            <w:tcW w:w="3174" w:type="dxa"/>
            <w:vMerge w:val="restart"/>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建设单位</w:t>
            </w:r>
          </w:p>
        </w:tc>
        <w:tc>
          <w:tcPr>
            <w:tcW w:w="7593" w:type="dxa"/>
            <w:vMerge w:val="restart"/>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项目名称</w:t>
            </w:r>
          </w:p>
        </w:tc>
        <w:tc>
          <w:tcPr>
            <w:tcW w:w="2122" w:type="dxa"/>
            <w:vMerge w:val="restart"/>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拟资助金额（万元）</w:t>
            </w:r>
          </w:p>
        </w:tc>
      </w:tr>
      <w:tr>
        <w:tblPrEx>
          <w:tblCellMar>
            <w:top w:w="0" w:type="dxa"/>
            <w:left w:w="108" w:type="dxa"/>
            <w:bottom w:w="0" w:type="dxa"/>
            <w:right w:w="108" w:type="dxa"/>
          </w:tblCellMar>
        </w:tblPrEx>
        <w:trPr>
          <w:trHeight w:val="573" w:hRule="atLeast"/>
        </w:trPr>
        <w:tc>
          <w:tcPr>
            <w:tcW w:w="64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p>
        </w:tc>
        <w:tc>
          <w:tcPr>
            <w:tcW w:w="3174" w:type="dxa"/>
            <w:vMerge w:val="continue"/>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p>
        </w:tc>
        <w:tc>
          <w:tcPr>
            <w:tcW w:w="7593" w:type="dxa"/>
            <w:vMerge w:val="continue"/>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p>
        </w:tc>
        <w:tc>
          <w:tcPr>
            <w:tcW w:w="2122" w:type="dxa"/>
            <w:vMerge w:val="continue"/>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p>
        </w:tc>
      </w:tr>
      <w:tr>
        <w:tblPrEx>
          <w:tblCellMar>
            <w:top w:w="0" w:type="dxa"/>
            <w:left w:w="108" w:type="dxa"/>
            <w:bottom w:w="0" w:type="dxa"/>
            <w:right w:w="108" w:type="dxa"/>
          </w:tblCellMar>
        </w:tblPrEx>
        <w:trPr>
          <w:trHeight w:val="567" w:hRule="atLeast"/>
        </w:trPr>
        <w:tc>
          <w:tcPr>
            <w:tcW w:w="649"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c>
          <w:tcPr>
            <w:tcW w:w="3174" w:type="dxa"/>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深圳市思达仪表有限公司</w:t>
            </w:r>
          </w:p>
        </w:tc>
        <w:tc>
          <w:tcPr>
            <w:tcW w:w="7593" w:type="dxa"/>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高精度低功耗智能电能表关键环节提升项目</w:t>
            </w:r>
          </w:p>
        </w:tc>
        <w:tc>
          <w:tcPr>
            <w:tcW w:w="2122" w:type="dxa"/>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70.1711</w:t>
            </w:r>
          </w:p>
        </w:tc>
      </w:tr>
      <w:tr>
        <w:tblPrEx>
          <w:tblCellMar>
            <w:top w:w="0" w:type="dxa"/>
            <w:left w:w="108" w:type="dxa"/>
            <w:bottom w:w="0" w:type="dxa"/>
            <w:right w:w="108" w:type="dxa"/>
          </w:tblCellMar>
        </w:tblPrEx>
        <w:trPr>
          <w:trHeight w:val="567" w:hRule="atLeast"/>
        </w:trPr>
        <w:tc>
          <w:tcPr>
            <w:tcW w:w="649"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3174" w:type="dxa"/>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深圳市朗泰沣电子有限公司</w:t>
            </w:r>
          </w:p>
        </w:tc>
        <w:tc>
          <w:tcPr>
            <w:tcW w:w="7593" w:type="dxa"/>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高可靠性环保铁锂电池产业链关键环节提升</w:t>
            </w:r>
          </w:p>
        </w:tc>
        <w:tc>
          <w:tcPr>
            <w:tcW w:w="2122" w:type="dxa"/>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204.4265</w:t>
            </w:r>
          </w:p>
        </w:tc>
      </w:tr>
      <w:tr>
        <w:tblPrEx>
          <w:tblCellMar>
            <w:top w:w="0" w:type="dxa"/>
            <w:left w:w="108" w:type="dxa"/>
            <w:bottom w:w="0" w:type="dxa"/>
            <w:right w:w="108" w:type="dxa"/>
          </w:tblCellMar>
        </w:tblPrEx>
        <w:trPr>
          <w:trHeight w:val="567" w:hRule="atLeast"/>
        </w:trPr>
        <w:tc>
          <w:tcPr>
            <w:tcW w:w="649"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3174" w:type="dxa"/>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曙鹏科技（深圳）有限公司</w:t>
            </w:r>
          </w:p>
        </w:tc>
        <w:tc>
          <w:tcPr>
            <w:tcW w:w="7593" w:type="dxa"/>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超高电压锂离子聚合物电池平台应用研发产业化项目</w:t>
            </w:r>
          </w:p>
        </w:tc>
        <w:tc>
          <w:tcPr>
            <w:tcW w:w="2122" w:type="dxa"/>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725.6824</w:t>
            </w:r>
          </w:p>
        </w:tc>
      </w:tr>
      <w:tr>
        <w:tblPrEx>
          <w:tblCellMar>
            <w:top w:w="0" w:type="dxa"/>
            <w:left w:w="108" w:type="dxa"/>
            <w:bottom w:w="0" w:type="dxa"/>
            <w:right w:w="108" w:type="dxa"/>
          </w:tblCellMar>
        </w:tblPrEx>
        <w:trPr>
          <w:trHeight w:val="567" w:hRule="atLeast"/>
        </w:trPr>
        <w:tc>
          <w:tcPr>
            <w:tcW w:w="649"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w:t>
            </w:r>
          </w:p>
        </w:tc>
        <w:tc>
          <w:tcPr>
            <w:tcW w:w="3174" w:type="dxa"/>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深圳市盛弘电气股份有限公司</w:t>
            </w:r>
          </w:p>
        </w:tc>
        <w:tc>
          <w:tcPr>
            <w:tcW w:w="7593" w:type="dxa"/>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360KW直流12枪环形柔性充电堆</w:t>
            </w:r>
          </w:p>
        </w:tc>
        <w:tc>
          <w:tcPr>
            <w:tcW w:w="2122" w:type="dxa"/>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254.4926</w:t>
            </w:r>
          </w:p>
        </w:tc>
      </w:tr>
      <w:tr>
        <w:tblPrEx>
          <w:tblCellMar>
            <w:top w:w="0" w:type="dxa"/>
            <w:left w:w="108" w:type="dxa"/>
            <w:bottom w:w="0" w:type="dxa"/>
            <w:right w:w="108" w:type="dxa"/>
          </w:tblCellMar>
        </w:tblPrEx>
        <w:trPr>
          <w:trHeight w:val="567" w:hRule="atLeast"/>
        </w:trPr>
        <w:tc>
          <w:tcPr>
            <w:tcW w:w="649"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3174" w:type="dxa"/>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深圳市福瑞电气有限公司</w:t>
            </w:r>
          </w:p>
        </w:tc>
        <w:tc>
          <w:tcPr>
            <w:tcW w:w="7593" w:type="dxa"/>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大功率氢燃料电池汽车高压配电箱（PDU）研发及产业化项目</w:t>
            </w:r>
          </w:p>
        </w:tc>
        <w:tc>
          <w:tcPr>
            <w:tcW w:w="2122" w:type="dxa"/>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194.6173</w:t>
            </w:r>
          </w:p>
        </w:tc>
      </w:tr>
      <w:tr>
        <w:tblPrEx>
          <w:tblCellMar>
            <w:top w:w="0" w:type="dxa"/>
            <w:left w:w="108" w:type="dxa"/>
            <w:bottom w:w="0" w:type="dxa"/>
            <w:right w:w="108" w:type="dxa"/>
          </w:tblCellMar>
        </w:tblPrEx>
        <w:trPr>
          <w:trHeight w:val="567" w:hRule="atLeast"/>
        </w:trPr>
        <w:tc>
          <w:tcPr>
            <w:tcW w:w="649"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6</w:t>
            </w:r>
          </w:p>
        </w:tc>
        <w:tc>
          <w:tcPr>
            <w:tcW w:w="3174" w:type="dxa"/>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深圳市英可瑞科技股份有限公司</w:t>
            </w:r>
          </w:p>
        </w:tc>
        <w:tc>
          <w:tcPr>
            <w:tcW w:w="7593" w:type="dxa"/>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具有自主维护及高可靠性的智能一体化直流电源测控管理系统研发及产业化项目</w:t>
            </w:r>
          </w:p>
        </w:tc>
        <w:tc>
          <w:tcPr>
            <w:tcW w:w="2122" w:type="dxa"/>
            <w:tcBorders>
              <w:top w:val="single" w:color="auto" w:sz="8" w:space="0"/>
              <w:left w:val="nil"/>
              <w:bottom w:val="single" w:color="auto" w:sz="8" w:space="0"/>
              <w:right w:val="single" w:color="auto" w:sz="8" w:space="0"/>
            </w:tcBorders>
            <w:noWrap w:val="0"/>
            <w:vAlign w:val="center"/>
          </w:tcPr>
          <w:p>
            <w:pPr>
              <w:widowControl/>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292.0232</w:t>
            </w:r>
          </w:p>
        </w:tc>
      </w:tr>
    </w:tbl>
    <w:p>
      <w:pPr>
        <w:widowControl/>
        <w:jc w:val="left"/>
        <w:rPr>
          <w:rFonts w:hint="eastAsia"/>
        </w:rPr>
      </w:pPr>
      <w:r>
        <w:rPr>
          <w:rFonts w:hint="eastAsia"/>
        </w:rPr>
        <w:t>注：最终资助金额以资金下达文件为准。</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93529"/>
    <w:rsid w:val="72F93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widowControl/>
      <w:spacing w:line="560" w:lineRule="exact"/>
      <w:jc w:val="center"/>
      <w:outlineLvl w:val="0"/>
    </w:pPr>
    <w:rPr>
      <w:rFonts w:ascii="方正小标宋简体" w:hAnsi="仿宋" w:eastAsia="方正小标宋简体"/>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uiPriority w:val="0"/>
    <w:pPr>
      <w:tabs>
        <w:tab w:val="center" w:pos="4153"/>
        <w:tab w:val="right" w:pos="8306"/>
      </w:tabs>
      <w:snapToGrid w:val="0"/>
      <w:jc w:val="left"/>
    </w:pPr>
    <w:rPr>
      <w:sz w:val="18"/>
      <w:szCs w:val="18"/>
    </w:rPr>
  </w:style>
  <w:style w:type="paragraph" w:styleId="4">
    <w:name w:val="header"/>
    <w:basedOn w:val="1"/>
    <w:unhideWhenUsed/>
    <w:uiPriority w:val="0"/>
    <w:pPr>
      <w:tabs>
        <w:tab w:val="center" w:pos="4153"/>
        <w:tab w:val="right" w:pos="8306"/>
      </w:tabs>
      <w:snapToGrid w:val="0"/>
      <w:jc w:val="center"/>
    </w:pPr>
    <w:rPr>
      <w:sz w:val="18"/>
      <w:szCs w:val="18"/>
    </w:rPr>
  </w:style>
  <w:style w:type="paragraph" w:customStyle="1" w:styleId="7">
    <w:name w:val="黑体"/>
    <w:basedOn w:val="1"/>
    <w:uiPriority w:val="3"/>
    <w:pPr>
      <w:spacing w:line="540" w:lineRule="exact"/>
      <w:ind w:left="1014" w:hanging="1014" w:hangingChars="326"/>
    </w:pPr>
    <w:rPr>
      <w:rFonts w:ascii="黑体" w:hAnsi="黑体" w:eastAsia="黑体"/>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2020-06-11T09:26:00Z</dcterms:created>
  <dc:creator>夏</dc:creator>
  <cp:lastModifiedBy>夏</cp:lastModifiedBy>
  <dcterms:modified xsi:type="dcterms:W3CDTF">2020-06-11T09:26:44Z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